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kaus Tripa" w:hAnsi="kaus Tripa"/>
          <w:sz w:val="48"/>
          <w:szCs w:val="48"/>
        </w:rPr>
      </w:pPr>
      <w:r>
        <w:rPr>
          <w:rFonts w:ascii="kaus Tripa" w:hAnsi="kaus Tripa"/>
          <w:sz w:val="48"/>
          <w:szCs w:val="48"/>
          <w:u w:val="single"/>
        </w:rPr>
        <w:t xml:space="preserve">Programmation / </w:t>
      </w:r>
      <w:r>
        <w:rPr>
          <w:rFonts w:ascii="kaus Tripa" w:hAnsi="kaus Tripa"/>
          <w:sz w:val="48"/>
          <w:szCs w:val="48"/>
          <w:u w:val="single"/>
        </w:rPr>
        <w:t xml:space="preserve">Progression Cycle </w:t>
      </w:r>
      <w:r>
        <w:rPr>
          <w:rFonts w:ascii="kaus Tripa" w:hAnsi="kaus Tripa"/>
          <w:sz w:val="48"/>
          <w:szCs w:val="48"/>
          <w:u w:val="single"/>
        </w:rPr>
        <w:t>3</w:t>
      </w:r>
      <w:r>
        <w:rPr>
          <w:rFonts w:ascii="kaus Tripa" w:hAnsi="kaus Tripa"/>
          <w:sz w:val="48"/>
          <w:szCs w:val="48"/>
          <w:u w:val="none"/>
        </w:rPr>
        <w:t xml:space="preserve"> - </w:t>
      </w:r>
      <w:r>
        <w:rPr>
          <w:rFonts w:ascii="kaus Tripa" w:hAnsi="kaus Tripa"/>
          <w:b/>
          <w:bCs/>
          <w:sz w:val="48"/>
          <w:szCs w:val="48"/>
          <w:u w:val="single"/>
        </w:rPr>
        <w:t>HISTOIRE DES ARTS</w:t>
      </w:r>
    </w:p>
    <w:p>
      <w:pPr>
        <w:pStyle w:val="Normal"/>
        <w:jc w:val="center"/>
        <w:rPr>
          <w:rFonts w:ascii="kaus Tripa" w:hAnsi="kaus Tripa"/>
          <w:b w:val="false"/>
          <w:b w:val="false"/>
          <w:bCs w:val="false"/>
          <w:sz w:val="48"/>
          <w:szCs w:val="48"/>
        </w:rPr>
      </w:pPr>
      <w:r>
        <w:rPr>
          <w:rFonts w:ascii="kaus Tripa" w:hAnsi="kaus Tripa"/>
          <w:b w:val="false"/>
          <w:bCs w:val="false"/>
          <w:sz w:val="48"/>
          <w:szCs w:val="48"/>
        </w:rPr>
        <w:t>Programmes de 2016 – Année scolaire …...../........</w:t>
      </w:r>
    </w:p>
    <w:p>
      <w:pPr>
        <w:pStyle w:val="Normal"/>
        <w:jc w:val="center"/>
        <w:rPr>
          <w:sz w:val="30"/>
          <w:szCs w:val="30"/>
        </w:rPr>
      </w:pPr>
      <w:r>
        <w:rPr>
          <w:sz w:val="30"/>
          <w:szCs w:val="30"/>
        </w:rPr>
      </w:r>
    </w:p>
    <w:tbl>
      <w:tblPr>
        <w:tblW w:w="14555" w:type="dxa"/>
        <w:jc w:val="left"/>
        <w:tblInd w:w="55" w:type="dxa"/>
        <w:tblBorders/>
        <w:tblCellMar>
          <w:top w:w="55" w:type="dxa"/>
          <w:left w:w="55" w:type="dxa"/>
          <w:bottom w:w="55" w:type="dxa"/>
          <w:right w:w="55" w:type="dxa"/>
        </w:tblCellMar>
      </w:tblPr>
      <w:tblGrid>
        <w:gridCol w:w="2610"/>
        <w:gridCol w:w="7650"/>
        <w:gridCol w:w="859"/>
        <w:gridCol w:w="859"/>
        <w:gridCol w:w="859"/>
        <w:gridCol w:w="859"/>
        <w:gridCol w:w="859"/>
      </w:tblGrid>
      <w:tr>
        <w:trPr/>
        <w:tc>
          <w:tcPr>
            <w:tcW w:w="10260" w:type="dxa"/>
            <w:gridSpan w:val="2"/>
            <w:tcBorders/>
            <w:shd w:fill="auto" w:val="clear"/>
          </w:tcPr>
          <w:p>
            <w:pPr>
              <w:pStyle w:val="Contenudetableau"/>
              <w:jc w:val="left"/>
              <w:rPr>
                <w:rFonts w:ascii="Wingdings" w:hAnsi="Wingdings" w:eastAsia="Wingdings" w:cs="Wingdings"/>
                <w:sz w:val="30"/>
                <w:szCs w:val="30"/>
                <w:highlight w:val="blue"/>
              </w:rPr>
            </w:pPr>
            <w:r>
              <w:rPr>
                <w:rFonts w:eastAsia="Wingdings" w:cs="Wingdings" w:ascii="Wingdings" w:hAnsi="Wingdings"/>
                <w:sz w:val="30"/>
                <w:szCs w:val="30"/>
                <w:highlight w:val="blue"/>
              </w:rPr>
            </w:r>
          </w:p>
        </w:tc>
        <w:tc>
          <w:tcPr>
            <w:tcW w:w="4295" w:type="dxa"/>
            <w:gridSpan w:val="5"/>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FFD320" w:val="clear"/>
            <w:tcMar>
              <w:left w:w="54" w:type="dxa"/>
            </w:tcMar>
          </w:tcPr>
          <w:p>
            <w:pPr>
              <w:pStyle w:val="Contenudetableau"/>
              <w:jc w:val="center"/>
              <w:rPr>
                <w:b/>
                <w:b/>
                <w:bCs/>
                <w:sz w:val="26"/>
                <w:szCs w:val="26"/>
              </w:rPr>
            </w:pPr>
            <w:r>
              <w:rPr>
                <w:b/>
                <w:bCs/>
                <w:sz w:val="26"/>
                <w:szCs w:val="26"/>
              </w:rPr>
              <w:t xml:space="preserve">Projets / </w:t>
            </w:r>
            <w:r>
              <w:rPr>
                <w:b/>
                <w:bCs/>
                <w:sz w:val="26"/>
                <w:szCs w:val="26"/>
              </w:rPr>
              <w:t>Oeuvres / Titres</w:t>
            </w:r>
          </w:p>
        </w:tc>
      </w:tr>
      <w:tr>
        <w:trPr>
          <w:trHeight w:val="2664" w:hRule="atLeast"/>
        </w:trPr>
        <w:tc>
          <w:tcPr>
            <w:tcW w:w="10260" w:type="dxa"/>
            <w:gridSpan w:val="2"/>
            <w:tcBorders>
              <w:bottom w:val="single" w:sz="2" w:space="0" w:color="000000"/>
              <w:insideH w:val="single" w:sz="2" w:space="0" w:color="000000"/>
            </w:tcBorders>
            <w:shd w:fill="auto" w:val="clear"/>
            <w:vAlign w:val="bottom"/>
          </w:tcPr>
          <w:p>
            <w:pPr>
              <w:pStyle w:val="Contenudetableau"/>
              <w:jc w:val="left"/>
              <w:rPr>
                <w:b/>
                <w:b/>
                <w:bCs/>
                <w:color w:val="0000FF"/>
                <w:sz w:val="24"/>
                <w:szCs w:val="24"/>
              </w:rPr>
            </w:pPr>
            <w:r>
              <w:rPr>
                <w:b/>
                <w:bCs/>
                <w:color w:val="0000FF"/>
                <w:sz w:val="24"/>
                <w:szCs w:val="24"/>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615" w:hRule="atLeast"/>
        </w:trPr>
        <w:tc>
          <w:tcPr>
            <w:tcW w:w="10260" w:type="dxa"/>
            <w:gridSpan w:val="2"/>
            <w:tcBorders>
              <w:left w:val="single" w:sz="2" w:space="0" w:color="000000"/>
              <w:bottom w:val="single" w:sz="2" w:space="0" w:color="000000"/>
              <w:insideH w:val="single" w:sz="2" w:space="0" w:color="000000"/>
            </w:tcBorders>
            <w:shd w:fill="E6E6FF" w:val="clear"/>
            <w:tcMar>
              <w:left w:w="54" w:type="dxa"/>
            </w:tcMar>
            <w:vAlign w:val="center"/>
          </w:tcPr>
          <w:p>
            <w:pPr>
              <w:pStyle w:val="Contenudetableau"/>
              <w:jc w:val="left"/>
              <w:rPr>
                <w:b/>
                <w:b/>
                <w:bCs/>
                <w:sz w:val="21"/>
                <w:szCs w:val="21"/>
              </w:rPr>
            </w:pPr>
            <w:r>
              <w:rPr>
                <w:b/>
                <w:bCs/>
                <w:sz w:val="21"/>
                <w:szCs w:val="21"/>
              </w:rPr>
              <w:t>Attendus de fin de cycle</w:t>
            </w:r>
            <w:r>
              <w:rPr>
                <w:b/>
                <w:bCs/>
                <w:sz w:val="21"/>
                <w:szCs w:val="21"/>
              </w:rPr>
              <w:t> :</w:t>
            </w:r>
          </w:p>
          <w:p>
            <w:pPr>
              <w:pStyle w:val="Contenudetableau"/>
              <w:jc w:val="both"/>
              <w:rPr>
                <w:b w:val="false"/>
                <w:b w:val="false"/>
                <w:bCs w:val="false"/>
                <w:sz w:val="21"/>
                <w:szCs w:val="21"/>
              </w:rPr>
            </w:pPr>
            <w:r>
              <w:rPr>
                <w:b w:val="false"/>
                <w:bCs w:val="false"/>
                <w:sz w:val="21"/>
                <w:szCs w:val="21"/>
              </w:rPr>
              <w:t>» Décrire une œuvre en identifiant ses principales caractéristiques techniques et formelles à l’aide d’un lexique simple et adapté.</w:t>
            </w:r>
          </w:p>
          <w:p>
            <w:pPr>
              <w:pStyle w:val="Contenudetableau"/>
              <w:jc w:val="both"/>
              <w:rPr>
                <w:b w:val="false"/>
                <w:b w:val="false"/>
                <w:bCs w:val="false"/>
                <w:sz w:val="21"/>
                <w:szCs w:val="21"/>
              </w:rPr>
            </w:pPr>
            <w:r>
              <w:rPr>
                <w:b w:val="false"/>
                <w:bCs w:val="false"/>
                <w:sz w:val="21"/>
                <w:szCs w:val="21"/>
              </w:rPr>
              <w:t>» Émettre une proposition argumentée, fondée sur quelques grandes caractéristiques d’une œuvre, pour situer celle-ci dans une période et une aire géographique, au risque de l’erreur.</w:t>
            </w:r>
          </w:p>
          <w:p>
            <w:pPr>
              <w:pStyle w:val="Contenudetableau"/>
              <w:jc w:val="both"/>
              <w:rPr>
                <w:b w:val="false"/>
                <w:b w:val="false"/>
                <w:bCs w:val="false"/>
                <w:sz w:val="21"/>
                <w:szCs w:val="21"/>
              </w:rPr>
            </w:pPr>
            <w:r>
              <w:rPr>
                <w:b w:val="false"/>
                <w:bCs w:val="false"/>
                <w:sz w:val="21"/>
                <w:szCs w:val="21"/>
              </w:rPr>
              <w:t>» Exprimer un ressenti et un avis devant une œuvre, étayés à l’aide d’une première analyse.</w:t>
            </w:r>
          </w:p>
          <w:p>
            <w:pPr>
              <w:pStyle w:val="Contenudetableau"/>
              <w:jc w:val="both"/>
              <w:rPr>
                <w:b w:val="false"/>
                <w:b w:val="false"/>
                <w:bCs w:val="false"/>
                <w:sz w:val="21"/>
                <w:szCs w:val="21"/>
              </w:rPr>
            </w:pPr>
            <w:r>
              <w:rPr>
                <w:b w:val="false"/>
                <w:bCs w:val="false"/>
                <w:sz w:val="21"/>
                <w:szCs w:val="21"/>
              </w:rPr>
              <w:t>» Se repérer dans un musée ou un centre d’art, adapter son comportement au lieu et identifier la fonction de ses principaux acteurs.</w:t>
            </w:r>
          </w:p>
          <w:p>
            <w:pPr>
              <w:pStyle w:val="Contenudetableau"/>
              <w:jc w:val="both"/>
              <w:rPr>
                <w:b w:val="false"/>
                <w:b w:val="false"/>
                <w:bCs w:val="false"/>
                <w:sz w:val="21"/>
                <w:szCs w:val="21"/>
              </w:rPr>
            </w:pPr>
            <w:r>
              <w:rPr>
                <w:b w:val="false"/>
                <w:bCs w:val="false"/>
                <w:sz w:val="21"/>
                <w:szCs w:val="21"/>
              </w:rPr>
              <w:t>» Identifier la marque des arts du passé et du présent dans son environnement.</w:t>
            </w:r>
          </w:p>
        </w:tc>
        <w:tc>
          <w:tcPr>
            <w:tcW w:w="859" w:type="dxa"/>
            <w:tcBorders>
              <w:left w:val="single" w:sz="2" w:space="0" w:color="000000"/>
              <w:bottom w:val="single" w:sz="2" w:space="0" w:color="000000"/>
              <w:insideH w:val="single" w:sz="2" w:space="0" w:color="000000"/>
            </w:tcBorders>
            <w:shd w:fill="E6E6FF" w:val="clear"/>
            <w:tcMar>
              <w:left w:w="54" w:type="dxa"/>
            </w:tcMar>
          </w:tcPr>
          <w:p>
            <w:pPr>
              <w:pStyle w:val="Contenudetableau"/>
              <w:jc w:val="center"/>
              <w:rPr>
                <w:sz w:val="30"/>
                <w:szCs w:val="30"/>
              </w:rPr>
            </w:pPr>
            <w:r>
              <w:rPr>
                <w:sz w:val="30"/>
                <w:szCs w:val="30"/>
              </w:rPr>
            </w:r>
          </w:p>
        </w:tc>
        <w:tc>
          <w:tcPr>
            <w:tcW w:w="859" w:type="dxa"/>
            <w:tcBorders>
              <w:bottom w:val="single" w:sz="2" w:space="0" w:color="000000"/>
              <w:insideH w:val="single" w:sz="2" w:space="0" w:color="000000"/>
            </w:tcBorders>
            <w:shd w:fill="E6E6FF" w:val="clear"/>
          </w:tcPr>
          <w:p>
            <w:pPr>
              <w:pStyle w:val="Contenudetableau"/>
              <w:jc w:val="center"/>
              <w:rPr>
                <w:sz w:val="30"/>
                <w:szCs w:val="30"/>
              </w:rPr>
            </w:pPr>
            <w:r>
              <w:rPr>
                <w:sz w:val="30"/>
                <w:szCs w:val="30"/>
              </w:rPr>
            </w:r>
          </w:p>
        </w:tc>
        <w:tc>
          <w:tcPr>
            <w:tcW w:w="859" w:type="dxa"/>
            <w:tcBorders>
              <w:bottom w:val="single" w:sz="2" w:space="0" w:color="000000"/>
              <w:insideH w:val="single" w:sz="2" w:space="0" w:color="000000"/>
            </w:tcBorders>
            <w:shd w:fill="E6E6FF" w:val="clear"/>
          </w:tcPr>
          <w:p>
            <w:pPr>
              <w:pStyle w:val="Contenudetableau"/>
              <w:jc w:val="center"/>
              <w:rPr>
                <w:sz w:val="30"/>
                <w:szCs w:val="30"/>
              </w:rPr>
            </w:pPr>
            <w:r>
              <w:rPr>
                <w:sz w:val="30"/>
                <w:szCs w:val="30"/>
              </w:rPr>
            </w:r>
          </w:p>
        </w:tc>
        <w:tc>
          <w:tcPr>
            <w:tcW w:w="859" w:type="dxa"/>
            <w:tcBorders>
              <w:bottom w:val="single" w:sz="2" w:space="0" w:color="000000"/>
              <w:insideH w:val="single" w:sz="2" w:space="0" w:color="000000"/>
            </w:tcBorders>
            <w:shd w:fill="E6E6FF" w:val="clear"/>
          </w:tcPr>
          <w:p>
            <w:pPr>
              <w:pStyle w:val="Contenudetableau"/>
              <w:jc w:val="center"/>
              <w:rPr>
                <w:sz w:val="30"/>
                <w:szCs w:val="30"/>
              </w:rPr>
            </w:pPr>
            <w:r>
              <w:rPr>
                <w:sz w:val="30"/>
                <w:szCs w:val="30"/>
              </w:rPr>
            </w:r>
          </w:p>
        </w:tc>
        <w:tc>
          <w:tcPr>
            <w:tcW w:w="859" w:type="dxa"/>
            <w:tcBorders>
              <w:bottom w:val="single" w:sz="2" w:space="0" w:color="000000"/>
              <w:right w:val="single" w:sz="2" w:space="0" w:color="000000"/>
              <w:insideH w:val="single" w:sz="2" w:space="0" w:color="000000"/>
              <w:insideV w:val="single" w:sz="2" w:space="0" w:color="000000"/>
            </w:tcBorders>
            <w:shd w:fill="E6E6FF" w:val="clear"/>
          </w:tcPr>
          <w:p>
            <w:pPr>
              <w:pStyle w:val="Contenudetableau"/>
              <w:jc w:val="center"/>
              <w:rPr>
                <w:sz w:val="30"/>
                <w:szCs w:val="30"/>
              </w:rPr>
            </w:pPr>
            <w:r>
              <w:rPr>
                <w:sz w:val="30"/>
                <w:szCs w:val="30"/>
              </w:rPr>
            </w:r>
          </w:p>
        </w:tc>
      </w:tr>
      <w:tr>
        <w:trPr>
          <w:trHeight w:val="615" w:hRule="atLeast"/>
        </w:trPr>
        <w:tc>
          <w:tcPr>
            <w:tcW w:w="10260" w:type="dxa"/>
            <w:gridSpan w:val="2"/>
            <w:tcBorders>
              <w:left w:val="single" w:sz="2" w:space="0" w:color="000000"/>
              <w:bottom w:val="single" w:sz="2" w:space="0" w:color="000000"/>
              <w:insideH w:val="single" w:sz="2" w:space="0" w:color="000000"/>
            </w:tcBorders>
            <w:shd w:fill="E6E6FF" w:val="clear"/>
            <w:tcMar>
              <w:left w:w="54" w:type="dxa"/>
            </w:tcMar>
            <w:vAlign w:val="center"/>
          </w:tcPr>
          <w:p>
            <w:pPr>
              <w:pStyle w:val="Contenudetableau"/>
              <w:jc w:val="center"/>
              <w:rPr>
                <w:b/>
                <w:b/>
                <w:bCs/>
                <w:sz w:val="24"/>
                <w:szCs w:val="24"/>
              </w:rPr>
            </w:pPr>
            <w:r>
              <w:rPr>
                <w:b/>
                <w:bCs/>
                <w:sz w:val="24"/>
                <w:szCs w:val="24"/>
              </w:rPr>
              <w:t>C</w:t>
            </w:r>
            <w:r>
              <w:rPr>
                <w:b/>
                <w:bCs/>
                <w:sz w:val="24"/>
                <w:szCs w:val="24"/>
              </w:rPr>
              <w:t>onnaissances et comp</w:t>
            </w:r>
            <w:r>
              <w:rPr>
                <w:b/>
                <w:bCs/>
                <w:sz w:val="24"/>
                <w:szCs w:val="24"/>
              </w:rPr>
              <w:t>étence</w:t>
            </w:r>
            <w:r>
              <w:rPr>
                <w:b/>
                <w:bCs/>
                <w:sz w:val="24"/>
                <w:szCs w:val="24"/>
              </w:rPr>
              <w:t>s associées</w:t>
            </w:r>
          </w:p>
        </w:tc>
        <w:tc>
          <w:tcPr>
            <w:tcW w:w="859" w:type="dxa"/>
            <w:tcBorders>
              <w:left w:val="single" w:sz="2" w:space="0" w:color="000000"/>
              <w:bottom w:val="single" w:sz="2" w:space="0" w:color="000000"/>
              <w:insideH w:val="single" w:sz="2" w:space="0" w:color="000000"/>
            </w:tcBorders>
            <w:shd w:fill="E6E6FF" w:val="clear"/>
            <w:tcMar>
              <w:left w:w="54" w:type="dxa"/>
            </w:tcMar>
          </w:tcPr>
          <w:p>
            <w:pPr>
              <w:pStyle w:val="Contenudetableau"/>
              <w:jc w:val="center"/>
              <w:rPr>
                <w:sz w:val="30"/>
                <w:szCs w:val="30"/>
              </w:rPr>
            </w:pPr>
            <w:r>
              <w:rPr>
                <w:sz w:val="30"/>
                <w:szCs w:val="30"/>
              </w:rPr>
            </w:r>
          </w:p>
        </w:tc>
        <w:tc>
          <w:tcPr>
            <w:tcW w:w="859" w:type="dxa"/>
            <w:tcBorders>
              <w:bottom w:val="single" w:sz="2" w:space="0" w:color="000000"/>
              <w:insideH w:val="single" w:sz="2" w:space="0" w:color="000000"/>
            </w:tcBorders>
            <w:shd w:fill="E6E6FF" w:val="clear"/>
          </w:tcPr>
          <w:p>
            <w:pPr>
              <w:pStyle w:val="Contenudetableau"/>
              <w:jc w:val="center"/>
              <w:rPr>
                <w:sz w:val="30"/>
                <w:szCs w:val="30"/>
              </w:rPr>
            </w:pPr>
            <w:r>
              <w:rPr>
                <w:sz w:val="30"/>
                <w:szCs w:val="30"/>
              </w:rPr>
            </w:r>
          </w:p>
        </w:tc>
        <w:tc>
          <w:tcPr>
            <w:tcW w:w="859" w:type="dxa"/>
            <w:tcBorders>
              <w:bottom w:val="single" w:sz="2" w:space="0" w:color="000000"/>
              <w:insideH w:val="single" w:sz="2" w:space="0" w:color="000000"/>
            </w:tcBorders>
            <w:shd w:fill="E6E6FF" w:val="clear"/>
          </w:tcPr>
          <w:p>
            <w:pPr>
              <w:pStyle w:val="Contenudetableau"/>
              <w:jc w:val="center"/>
              <w:rPr>
                <w:sz w:val="30"/>
                <w:szCs w:val="30"/>
              </w:rPr>
            </w:pPr>
            <w:r>
              <w:rPr>
                <w:sz w:val="30"/>
                <w:szCs w:val="30"/>
              </w:rPr>
            </w:r>
          </w:p>
        </w:tc>
        <w:tc>
          <w:tcPr>
            <w:tcW w:w="859" w:type="dxa"/>
            <w:tcBorders>
              <w:bottom w:val="single" w:sz="2" w:space="0" w:color="000000"/>
              <w:insideH w:val="single" w:sz="2" w:space="0" w:color="000000"/>
            </w:tcBorders>
            <w:shd w:fill="E6E6FF" w:val="clear"/>
          </w:tcPr>
          <w:p>
            <w:pPr>
              <w:pStyle w:val="Contenudetableau"/>
              <w:jc w:val="center"/>
              <w:rPr>
                <w:sz w:val="30"/>
                <w:szCs w:val="30"/>
              </w:rPr>
            </w:pPr>
            <w:r>
              <w:rPr>
                <w:sz w:val="30"/>
                <w:szCs w:val="30"/>
              </w:rPr>
            </w:r>
          </w:p>
        </w:tc>
        <w:tc>
          <w:tcPr>
            <w:tcW w:w="859" w:type="dxa"/>
            <w:tcBorders>
              <w:bottom w:val="single" w:sz="2" w:space="0" w:color="000000"/>
              <w:right w:val="single" w:sz="2" w:space="0" w:color="000000"/>
              <w:insideH w:val="single" w:sz="2" w:space="0" w:color="000000"/>
              <w:insideV w:val="single" w:sz="2" w:space="0" w:color="000000"/>
            </w:tcBorders>
            <w:shd w:fill="E6E6FF" w:val="clear"/>
          </w:tcPr>
          <w:p>
            <w:pPr>
              <w:pStyle w:val="Contenudetableau"/>
              <w:jc w:val="center"/>
              <w:rPr>
                <w:sz w:val="30"/>
                <w:szCs w:val="30"/>
              </w:rPr>
            </w:pPr>
            <w:r>
              <w:rPr>
                <w:sz w:val="30"/>
                <w:szCs w:val="30"/>
              </w:rPr>
            </w:r>
          </w:p>
        </w:tc>
      </w:tr>
      <w:tr>
        <w:trPr>
          <w:trHeight w:val="747" w:hRule="atLeast"/>
        </w:trPr>
        <w:tc>
          <w:tcPr>
            <w:tcW w:w="2610" w:type="dxa"/>
            <w:vMerge w:val="restart"/>
            <w:tcBorders>
              <w:left w:val="single" w:sz="2" w:space="0" w:color="000000"/>
              <w:bottom w:val="single" w:sz="2" w:space="0" w:color="000000"/>
              <w:insideH w:val="single" w:sz="2" w:space="0" w:color="000000"/>
            </w:tcBorders>
            <w:shd w:fill="AECF00" w:val="clear"/>
            <w:tcMar>
              <w:left w:w="54" w:type="dxa"/>
            </w:tcMar>
            <w:vAlign w:val="center"/>
          </w:tcPr>
          <w:p>
            <w:pPr>
              <w:pStyle w:val="Contenudetableau"/>
              <w:jc w:val="center"/>
              <w:rPr>
                <w:b/>
                <w:b/>
                <w:bCs/>
                <w:sz w:val="24"/>
                <w:szCs w:val="24"/>
              </w:rPr>
            </w:pPr>
            <w:r>
              <w:rPr>
                <w:b/>
                <w:bCs/>
                <w:sz w:val="24"/>
                <w:szCs w:val="24"/>
              </w:rPr>
              <w:t>Donner un avis argumenté sur ce que représente ou exprime une œuvre d’art</w:t>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Identifier des personnages mythologiques ou religieux, des objets, des types d’espaces, des éclairages.</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615" w:hRule="atLeast"/>
        </w:trPr>
        <w:tc>
          <w:tcPr>
            <w:tcW w:w="2610" w:type="dxa"/>
            <w:vMerge w:val="continue"/>
            <w:tcBorders>
              <w:left w:val="single" w:sz="2" w:space="0" w:color="000000"/>
              <w:bottom w:val="single" w:sz="2" w:space="0" w:color="000000"/>
              <w:insideH w:val="single" w:sz="2" w:space="0" w:color="000000"/>
            </w:tcBorders>
            <w:shd w:fill="AECF00" w:val="clear"/>
            <w:tcMar>
              <w:left w:w="54" w:type="dxa"/>
            </w:tcMar>
            <w:vAlign w:val="center"/>
          </w:tcPr>
          <w:p>
            <w:pPr>
              <w:pStyle w:val="Normal"/>
              <w:rPr/>
            </w:pPr>
            <w:r>
              <w:rPr/>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Résumer une action représentée en image, déroulée sur scène ou sur un écran, et en caractériser les personnages.</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900" w:hRule="atLeast"/>
        </w:trPr>
        <w:tc>
          <w:tcPr>
            <w:tcW w:w="2610" w:type="dxa"/>
            <w:vMerge w:val="continue"/>
            <w:tcBorders>
              <w:left w:val="single" w:sz="2" w:space="0" w:color="000000"/>
              <w:bottom w:val="single" w:sz="2" w:space="0" w:color="000000"/>
              <w:insideH w:val="single" w:sz="2" w:space="0" w:color="000000"/>
            </w:tcBorders>
            <w:shd w:fill="AECF00" w:val="clear"/>
            <w:tcMar>
              <w:left w:w="54" w:type="dxa"/>
            </w:tcMar>
            <w:vAlign w:val="center"/>
          </w:tcPr>
          <w:p>
            <w:pPr>
              <w:pStyle w:val="Normal"/>
              <w:rPr/>
            </w:pPr>
            <w:r>
              <w:rPr/>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Caractériser un morceau de musique en termes simples.</w:t>
            </w:r>
          </w:p>
          <w:p>
            <w:pPr>
              <w:pStyle w:val="Contenudetableau"/>
              <w:jc w:val="both"/>
              <w:rPr>
                <w:sz w:val="21"/>
                <w:szCs w:val="21"/>
              </w:rPr>
            </w:pPr>
            <w:r>
              <w:rPr>
                <w:sz w:val="21"/>
                <w:szCs w:val="21"/>
              </w:rPr>
              <w:t xml:space="preserve">• </w:t>
            </w:r>
            <w:r>
              <w:rPr>
                <w:sz w:val="21"/>
                <w:szCs w:val="21"/>
              </w:rPr>
              <w:t>Connaissance de mythes antiques et récits fondateurs, notamment bibliques.</w:t>
            </w:r>
          </w:p>
          <w:p>
            <w:pPr>
              <w:pStyle w:val="Contenudetableau"/>
              <w:jc w:val="both"/>
              <w:rPr>
                <w:sz w:val="21"/>
                <w:szCs w:val="21"/>
              </w:rPr>
            </w:pPr>
            <w:r>
              <w:rPr>
                <w:sz w:val="21"/>
                <w:szCs w:val="21"/>
              </w:rPr>
              <w:t xml:space="preserve">• </w:t>
            </w:r>
            <w:r>
              <w:rPr>
                <w:sz w:val="21"/>
                <w:szCs w:val="21"/>
              </w:rPr>
              <w:t>Caractéristiques et spécificités des discours (raconter, décrire, expliquer, argumenter, résumer, etc.).</w:t>
            </w:r>
          </w:p>
          <w:p>
            <w:pPr>
              <w:pStyle w:val="Contenudetableau"/>
              <w:jc w:val="both"/>
              <w:rPr>
                <w:sz w:val="21"/>
                <w:szCs w:val="21"/>
              </w:rPr>
            </w:pPr>
            <w:r>
              <w:rPr>
                <w:sz w:val="21"/>
                <w:szCs w:val="21"/>
              </w:rPr>
              <w:t xml:space="preserve">• </w:t>
            </w:r>
            <w:r>
              <w:rPr>
                <w:sz w:val="21"/>
                <w:szCs w:val="21"/>
              </w:rPr>
              <w:t>Lexique des émotions et des sentiments.</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619" w:hRule="atLeast"/>
        </w:trPr>
        <w:tc>
          <w:tcPr>
            <w:tcW w:w="2610" w:type="dxa"/>
            <w:vMerge w:val="restart"/>
            <w:tcBorders>
              <w:left w:val="single" w:sz="2" w:space="0" w:color="000000"/>
              <w:bottom w:val="single" w:sz="2" w:space="0" w:color="000000"/>
              <w:insideH w:val="single" w:sz="2" w:space="0" w:color="000000"/>
            </w:tcBorders>
            <w:shd w:fill="FF950E" w:val="clear"/>
            <w:tcMar>
              <w:left w:w="54" w:type="dxa"/>
            </w:tcMar>
            <w:vAlign w:val="center"/>
          </w:tcPr>
          <w:p>
            <w:pPr>
              <w:pStyle w:val="Contenudetableau"/>
              <w:jc w:val="center"/>
              <w:rPr>
                <w:b/>
                <w:b/>
                <w:bCs/>
                <w:sz w:val="24"/>
                <w:szCs w:val="24"/>
              </w:rPr>
            </w:pPr>
            <w:r>
              <w:rPr>
                <w:b/>
                <w:bCs/>
                <w:sz w:val="24"/>
                <w:szCs w:val="24"/>
              </w:rPr>
              <w:t>Dégager d’une œuvre d’art, par l’observation ou l’écoute, ses principales caractéristiques techniques et formelles</w:t>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Identifier des matériaux, y compris sonores, et la manière dont l’artiste leur a donné forme.</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675" w:hRule="atLeast"/>
        </w:trPr>
        <w:tc>
          <w:tcPr>
            <w:tcW w:w="2610" w:type="dxa"/>
            <w:vMerge w:val="continue"/>
            <w:tcBorders>
              <w:left w:val="single" w:sz="2" w:space="0" w:color="000000"/>
              <w:bottom w:val="single" w:sz="2" w:space="0" w:color="000000"/>
              <w:insideH w:val="single" w:sz="2" w:space="0" w:color="000000"/>
            </w:tcBorders>
            <w:shd w:fill="FF950E" w:val="clear"/>
            <w:tcMar>
              <w:left w:w="54" w:type="dxa"/>
            </w:tcMar>
            <w:vAlign w:val="center"/>
          </w:tcPr>
          <w:p>
            <w:pPr>
              <w:pStyle w:val="Normal"/>
              <w:rPr/>
            </w:pPr>
            <w:r>
              <w:rPr/>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Retrouver des formes géométriques et comprendre leur agencement dans une façade, un tableau, un pavement, un tapis.</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615" w:hRule="atLeast"/>
        </w:trPr>
        <w:tc>
          <w:tcPr>
            <w:tcW w:w="2610" w:type="dxa"/>
            <w:vMerge w:val="continue"/>
            <w:tcBorders>
              <w:left w:val="single" w:sz="2" w:space="0" w:color="000000"/>
              <w:bottom w:val="single" w:sz="2" w:space="0" w:color="000000"/>
              <w:insideH w:val="single" w:sz="2" w:space="0" w:color="000000"/>
            </w:tcBorders>
            <w:shd w:fill="FF950E" w:val="clear"/>
            <w:tcMar>
              <w:left w:w="54" w:type="dxa"/>
            </w:tcMar>
            <w:vAlign w:val="center"/>
          </w:tcPr>
          <w:p>
            <w:pPr>
              <w:pStyle w:val="Normal"/>
              <w:rPr/>
            </w:pPr>
            <w:r>
              <w:rPr/>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Dégager d’une forme artistique des éléments de sens.</w:t>
            </w:r>
          </w:p>
          <w:p>
            <w:pPr>
              <w:pStyle w:val="Contenudetableau"/>
              <w:jc w:val="both"/>
              <w:rPr>
                <w:sz w:val="21"/>
                <w:szCs w:val="21"/>
              </w:rPr>
            </w:pPr>
            <w:r>
              <w:rPr>
                <w:sz w:val="21"/>
                <w:szCs w:val="21"/>
              </w:rPr>
              <w:t xml:space="preserve">• </w:t>
            </w:r>
            <w:r>
              <w:rPr>
                <w:sz w:val="21"/>
                <w:szCs w:val="21"/>
              </w:rPr>
              <w:t>Caractéristiques des familles de matériaux.</w:t>
            </w:r>
          </w:p>
          <w:p>
            <w:pPr>
              <w:pStyle w:val="Contenudetableau"/>
              <w:jc w:val="both"/>
              <w:rPr>
                <w:sz w:val="21"/>
                <w:szCs w:val="21"/>
              </w:rPr>
            </w:pPr>
            <w:r>
              <w:rPr>
                <w:sz w:val="21"/>
                <w:szCs w:val="21"/>
              </w:rPr>
              <w:t xml:space="preserve">• </w:t>
            </w:r>
            <w:r>
              <w:rPr>
                <w:sz w:val="21"/>
                <w:szCs w:val="21"/>
              </w:rPr>
              <w:t>Caractéristiques et spécificités des champs artistiques et éléments de lexique correspondants.</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740" w:hRule="atLeast"/>
        </w:trPr>
        <w:tc>
          <w:tcPr>
            <w:tcW w:w="2610" w:type="dxa"/>
            <w:vMerge w:val="restart"/>
            <w:tcBorders>
              <w:left w:val="single" w:sz="2" w:space="0" w:color="000000"/>
              <w:bottom w:val="single" w:sz="2" w:space="0" w:color="000000"/>
              <w:insideH w:val="single" w:sz="2" w:space="0" w:color="000000"/>
            </w:tcBorders>
            <w:shd w:fill="83CAFF" w:val="clear"/>
            <w:tcMar>
              <w:left w:w="54" w:type="dxa"/>
            </w:tcMar>
            <w:vAlign w:val="center"/>
          </w:tcPr>
          <w:p>
            <w:pPr>
              <w:pStyle w:val="Contenudetableau"/>
              <w:jc w:val="center"/>
              <w:rPr>
                <w:b/>
                <w:b/>
                <w:bCs/>
                <w:sz w:val="24"/>
                <w:szCs w:val="24"/>
              </w:rPr>
            </w:pPr>
            <w:r>
              <w:rPr>
                <w:b/>
                <w:bCs/>
                <w:sz w:val="24"/>
                <w:szCs w:val="24"/>
              </w:rPr>
              <w:t>Relier des caractéristiques d’une œuvre d’art à des usages,</w:t>
            </w:r>
          </w:p>
          <w:p>
            <w:pPr>
              <w:pStyle w:val="Contenudetableau"/>
              <w:jc w:val="center"/>
              <w:rPr>
                <w:b/>
                <w:b/>
                <w:bCs/>
                <w:sz w:val="24"/>
                <w:szCs w:val="24"/>
              </w:rPr>
            </w:pPr>
            <w:r>
              <w:rPr>
                <w:b/>
                <w:bCs/>
                <w:sz w:val="24"/>
                <w:szCs w:val="24"/>
              </w:rPr>
              <w:t>ainsi qu’au contexte historique et culturel de sa création</w:t>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Mettre en relation une ou plusieurs œuvres contemporaines entre elles et un fait historique, une époque, une aire géographique ou un texte, étudiés en histoire, en géographie ou en français.</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900" w:hRule="atLeast"/>
        </w:trPr>
        <w:tc>
          <w:tcPr>
            <w:tcW w:w="2610" w:type="dxa"/>
            <w:vMerge w:val="continue"/>
            <w:tcBorders>
              <w:left w:val="single" w:sz="2" w:space="0" w:color="000000"/>
              <w:bottom w:val="single" w:sz="2" w:space="0" w:color="000000"/>
              <w:insideH w:val="single" w:sz="2" w:space="0" w:color="000000"/>
            </w:tcBorders>
            <w:shd w:fill="83CAFF" w:val="clear"/>
            <w:tcMar>
              <w:left w:w="54" w:type="dxa"/>
            </w:tcMar>
            <w:vAlign w:val="center"/>
          </w:tcPr>
          <w:p>
            <w:pPr>
              <w:pStyle w:val="Normal"/>
              <w:rPr/>
            </w:pPr>
            <w:r>
              <w:rPr/>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Mettre en relation un texte connu (récit, fable, poésie, texte religieux ou mythologique) et plusieurs de ses illustrations ou transpositions visuelles, musicales, scéniques, chorégraphiques ou filmiques, issues de diverses époques, en soulignant le propre du langage de chacune.</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1020" w:hRule="atLeast"/>
        </w:trPr>
        <w:tc>
          <w:tcPr>
            <w:tcW w:w="2610" w:type="dxa"/>
            <w:vMerge w:val="continue"/>
            <w:tcBorders>
              <w:left w:val="single" w:sz="2" w:space="0" w:color="000000"/>
              <w:bottom w:val="single" w:sz="2" w:space="0" w:color="000000"/>
              <w:insideH w:val="single" w:sz="2" w:space="0" w:color="000000"/>
            </w:tcBorders>
            <w:shd w:fill="83CAFF" w:val="clear"/>
            <w:tcMar>
              <w:left w:w="54" w:type="dxa"/>
            </w:tcMar>
            <w:vAlign w:val="center"/>
          </w:tcPr>
          <w:p>
            <w:pPr>
              <w:pStyle w:val="Normal"/>
              <w:rPr/>
            </w:pPr>
            <w:r>
              <w:rPr/>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Mettre en relation des œuvres et objets mobiliers et des usages et modes de vie.</w:t>
            </w:r>
          </w:p>
          <w:p>
            <w:pPr>
              <w:pStyle w:val="Contenudetableau"/>
              <w:jc w:val="both"/>
              <w:rPr>
                <w:sz w:val="21"/>
                <w:szCs w:val="21"/>
              </w:rPr>
            </w:pPr>
            <w:r>
              <w:rPr>
                <w:sz w:val="21"/>
                <w:szCs w:val="21"/>
              </w:rPr>
              <w:t xml:space="preserve">• </w:t>
            </w:r>
            <w:r>
              <w:rPr>
                <w:sz w:val="21"/>
                <w:szCs w:val="21"/>
              </w:rPr>
              <w:t>Constitution d’un premier « musée imaginaire » classé par époques.</w:t>
            </w:r>
          </w:p>
          <w:p>
            <w:pPr>
              <w:pStyle w:val="Contenudetableau"/>
              <w:jc w:val="both"/>
              <w:rPr>
                <w:sz w:val="21"/>
                <w:szCs w:val="21"/>
              </w:rPr>
            </w:pPr>
            <w:r>
              <w:rPr>
                <w:sz w:val="21"/>
                <w:szCs w:val="21"/>
              </w:rPr>
              <w:t xml:space="preserve">• </w:t>
            </w:r>
            <w:r>
              <w:rPr>
                <w:sz w:val="21"/>
                <w:szCs w:val="21"/>
              </w:rPr>
              <w:t>Fiche signalétique/cartel pour identifier une œuvre d’art.</w:t>
            </w:r>
          </w:p>
          <w:p>
            <w:pPr>
              <w:pStyle w:val="Contenudetableau"/>
              <w:jc w:val="both"/>
              <w:rPr>
                <w:sz w:val="21"/>
                <w:szCs w:val="21"/>
              </w:rPr>
            </w:pPr>
            <w:r>
              <w:rPr>
                <w:sz w:val="21"/>
                <w:szCs w:val="21"/>
              </w:rPr>
              <w:t xml:space="preserve">• </w:t>
            </w:r>
            <w:r>
              <w:rPr>
                <w:sz w:val="21"/>
                <w:szCs w:val="21"/>
              </w:rPr>
              <w:t>Premiers éléments de lexique stylistique.</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756" w:hRule="atLeast"/>
        </w:trPr>
        <w:tc>
          <w:tcPr>
            <w:tcW w:w="2610" w:type="dxa"/>
            <w:vMerge w:val="restart"/>
            <w:tcBorders>
              <w:left w:val="single" w:sz="2" w:space="0" w:color="000000"/>
              <w:bottom w:val="single" w:sz="2" w:space="0" w:color="000000"/>
              <w:insideH w:val="single" w:sz="2" w:space="0" w:color="000000"/>
            </w:tcBorders>
            <w:shd w:fill="FFD320" w:val="clear"/>
            <w:tcMar>
              <w:left w:w="54" w:type="dxa"/>
            </w:tcMar>
            <w:vAlign w:val="center"/>
          </w:tcPr>
          <w:p>
            <w:pPr>
              <w:pStyle w:val="Normal"/>
              <w:jc w:val="center"/>
              <w:rPr>
                <w:b/>
                <w:b/>
                <w:bCs/>
              </w:rPr>
            </w:pPr>
            <w:r>
              <w:rPr>
                <w:b/>
                <w:bCs/>
              </w:rPr>
              <w:t>Se repérer dans un musée, un lieu d’art, un site patrimonial</w:t>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Effectuer une recherche (dans le cadre d’un exercice collectif et sur la base de consignes précises) en vue de préparer une sortie culturelle.</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675" w:hRule="atLeast"/>
        </w:trPr>
        <w:tc>
          <w:tcPr>
            <w:tcW w:w="2610" w:type="dxa"/>
            <w:vMerge w:val="continue"/>
            <w:tcBorders>
              <w:left w:val="single" w:sz="2" w:space="0" w:color="000000"/>
              <w:bottom w:val="single" w:sz="2" w:space="0" w:color="000000"/>
              <w:insideH w:val="single" w:sz="2" w:space="0" w:color="000000"/>
            </w:tcBorders>
            <w:shd w:fill="FFD320" w:val="clear"/>
            <w:tcMar>
              <w:left w:w="54" w:type="dxa"/>
            </w:tcMar>
            <w:vAlign w:val="center"/>
          </w:tcPr>
          <w:p>
            <w:pPr>
              <w:pStyle w:val="Normal"/>
              <w:rPr/>
            </w:pPr>
            <w:r>
              <w:rPr/>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Se repérer dans un musée ou un lieu d’art par la lecture et la compréhension des plans et indications.</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857" w:hRule="atLeast"/>
        </w:trPr>
        <w:tc>
          <w:tcPr>
            <w:tcW w:w="2610" w:type="dxa"/>
            <w:vMerge w:val="continue"/>
            <w:tcBorders>
              <w:left w:val="single" w:sz="2" w:space="0" w:color="000000"/>
              <w:bottom w:val="single" w:sz="2" w:space="0" w:color="000000"/>
              <w:insideH w:val="single" w:sz="2" w:space="0" w:color="000000"/>
            </w:tcBorders>
            <w:shd w:fill="FFD320" w:val="clear"/>
            <w:tcMar>
              <w:left w:w="54" w:type="dxa"/>
            </w:tcMar>
            <w:vAlign w:val="center"/>
          </w:tcPr>
          <w:p>
            <w:pPr>
              <w:pStyle w:val="Normal"/>
              <w:rPr/>
            </w:pPr>
            <w:r>
              <w:rPr/>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Être sensibilisé à la vulnérabilité du patrimoine.</w:t>
            </w:r>
          </w:p>
          <w:p>
            <w:pPr>
              <w:pStyle w:val="Contenudetableau"/>
              <w:jc w:val="both"/>
              <w:rPr>
                <w:sz w:val="21"/>
                <w:szCs w:val="21"/>
              </w:rPr>
            </w:pPr>
            <w:r>
              <w:rPr>
                <w:sz w:val="21"/>
                <w:szCs w:val="21"/>
              </w:rPr>
              <w:t xml:space="preserve">• </w:t>
            </w:r>
            <w:r>
              <w:rPr>
                <w:sz w:val="21"/>
                <w:szCs w:val="21"/>
              </w:rPr>
              <w:t>Premiers grands principes d’organisation muséale.</w:t>
            </w:r>
          </w:p>
          <w:p>
            <w:pPr>
              <w:pStyle w:val="Contenudetableau"/>
              <w:jc w:val="both"/>
              <w:rPr>
                <w:sz w:val="21"/>
                <w:szCs w:val="21"/>
              </w:rPr>
            </w:pPr>
            <w:r>
              <w:rPr>
                <w:sz w:val="21"/>
                <w:szCs w:val="21"/>
              </w:rPr>
              <w:t xml:space="preserve">• </w:t>
            </w:r>
            <w:r>
              <w:rPr>
                <w:sz w:val="21"/>
                <w:szCs w:val="21"/>
              </w:rPr>
              <w:t>Métiers de la conservation, de la restauration et de la diffusion.</w:t>
            </w:r>
          </w:p>
          <w:p>
            <w:pPr>
              <w:pStyle w:val="Contenudetableau"/>
              <w:jc w:val="both"/>
              <w:rPr>
                <w:sz w:val="21"/>
                <w:szCs w:val="21"/>
              </w:rPr>
            </w:pPr>
            <w:r>
              <w:rPr>
                <w:sz w:val="21"/>
                <w:szCs w:val="21"/>
              </w:rPr>
              <w:t xml:space="preserve">• </w:t>
            </w:r>
            <w:r>
              <w:rPr>
                <w:sz w:val="21"/>
                <w:szCs w:val="21"/>
              </w:rPr>
              <w:t>Identification et localisation d’une œuvre ou d’une salle.</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bl>
    <w:p>
      <w:pPr>
        <w:pStyle w:val="Normal"/>
        <w:jc w:val="center"/>
        <w:rPr>
          <w:rFonts w:ascii="kaus Tripa" w:hAnsi="kaus Tripa"/>
          <w:b/>
          <w:b/>
          <w:bCs/>
          <w:u w:val="single"/>
        </w:rPr>
      </w:pPr>
      <w:r>
        <w:rPr>
          <w:sz w:val="4"/>
          <w:szCs w:val="4"/>
        </w:rPr>
      </w:r>
    </w:p>
    <w:sectPr>
      <w:type w:val="nextPage"/>
      <w:pgSz w:orient="landscape" w:w="16838" w:h="11906"/>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kaus Tripa">
    <w:charset w:val="01"/>
    <w:family w:val="auto"/>
    <w:pitch w:val="variable"/>
  </w:font>
  <w:font w:name="Wingdings">
    <w:charset w:val="02"/>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FreeSans"/>
        <w:sz w:val="24"/>
        <w:szCs w:val="24"/>
        <w:lang w:val="fr-FR"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Lucida Sans Unicode" w:cs="FreeSans"/>
      <w:color w:val="auto"/>
      <w:sz w:val="24"/>
      <w:szCs w:val="24"/>
      <w:lang w:val="fr-FR" w:eastAsia="zh-CN" w:bidi="hi-IN"/>
    </w:rPr>
  </w:style>
  <w:style w:type="paragraph" w:styleId="Titre1">
    <w:name w:val="Heading 1"/>
    <w:basedOn w:val="Titre"/>
    <w:next w:val="Corpsdetexte"/>
    <w:qFormat/>
    <w:pPr>
      <w:numPr>
        <w:ilvl w:val="0"/>
        <w:numId w:val="0"/>
      </w:numPr>
      <w:spacing w:before="240" w:after="120"/>
      <w:outlineLvl w:val="0"/>
    </w:pPr>
    <w:rPr>
      <w:b/>
      <w:bCs/>
      <w:sz w:val="36"/>
      <w:szCs w:val="36"/>
    </w:rPr>
  </w:style>
  <w:style w:type="paragraph" w:styleId="Titre2">
    <w:name w:val="Heading 2"/>
    <w:basedOn w:val="Titre"/>
    <w:next w:val="Corpsdetexte"/>
    <w:qFormat/>
    <w:pPr>
      <w:numPr>
        <w:ilvl w:val="0"/>
        <w:numId w:val="0"/>
      </w:numPr>
      <w:spacing w:before="200" w:after="120"/>
      <w:outlineLvl w:val="1"/>
    </w:pPr>
    <w:rPr>
      <w:b/>
      <w:bCs/>
      <w:sz w:val="32"/>
      <w:szCs w:val="32"/>
    </w:rPr>
  </w:style>
  <w:style w:type="paragraph" w:styleId="Titre3">
    <w:name w:val="Heading 3"/>
    <w:basedOn w:val="Titre"/>
    <w:next w:val="Corpsdetexte"/>
    <w:qFormat/>
    <w:pPr>
      <w:numPr>
        <w:ilvl w:val="0"/>
        <w:numId w:val="0"/>
      </w:numPr>
      <w:spacing w:before="140" w:after="120"/>
      <w:outlineLvl w:val="2"/>
    </w:pPr>
    <w:rPr>
      <w:b/>
      <w:bCs/>
      <w:sz w:val="28"/>
      <w:szCs w:val="28"/>
    </w:rPr>
  </w:style>
  <w:style w:type="paragraph" w:styleId="Titre">
    <w:name w:val="Titre"/>
    <w:basedOn w:val="Normal"/>
    <w:next w:val="Corpsdetexte"/>
    <w:qFormat/>
    <w:pPr>
      <w:keepNext/>
      <w:spacing w:before="240" w:after="120"/>
    </w:pPr>
    <w:rPr>
      <w:rFonts w:ascii="Liberation Sans" w:hAnsi="Liberation Sans" w:eastAsia="Lucida Sans Unicode" w:cs="Free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Quotations">
    <w:name w:val="Quotations"/>
    <w:basedOn w:val="Normal"/>
    <w:qFormat/>
    <w:pPr>
      <w:spacing w:before="0" w:after="283"/>
      <w:ind w:left="567" w:right="567" w:hanging="0"/>
    </w:pPr>
    <w:rPr/>
  </w:style>
  <w:style w:type="paragraph" w:styleId="Titreprincipal">
    <w:name w:val="Title"/>
    <w:basedOn w:val="Titre"/>
    <w:next w:val="Corpsdetexte"/>
    <w:qFormat/>
    <w:pPr>
      <w:jc w:val="center"/>
    </w:pPr>
    <w:rPr>
      <w:b/>
      <w:bCs/>
      <w:sz w:val="56"/>
      <w:szCs w:val="56"/>
    </w:rPr>
  </w:style>
  <w:style w:type="paragraph" w:styleId="Soustitre">
    <w:name w:val="Subtitle"/>
    <w:basedOn w:val="Titre"/>
    <w:next w:val="Corpsdetexte"/>
    <w:qFormat/>
    <w:pPr>
      <w:spacing w:before="60" w:after="120"/>
      <w:jc w:val="center"/>
    </w:pPr>
    <w:rPr>
      <w:sz w:val="36"/>
      <w:szCs w:val="36"/>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445</TotalTime>
  <Application>LibreOffice/5.3.3.2$Linux_X86_64 LibreOffice_project/30m0$Build-2</Application>
  <Pages>2</Pages>
  <Words>494</Words>
  <Characters>2802</Characters>
  <CharactersWithSpaces>3259</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2016-05-08T16:11:19Z</dcterms:created>
  <dc:creator>Louise Gonzalez</dc:creator>
  <dc:description/>
  <dc:language>fr-FR</dc:language>
  <cp:lastModifiedBy>Louise Gonzalez</cp:lastModifiedBy>
  <dcterms:modified xsi:type="dcterms:W3CDTF">2017-05-28T22:47:11Z</dcterms:modified>
  <cp:revision>78</cp:revision>
  <dc:subject/>
  <dc:title/>
</cp:coreProperties>
</file>