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  <w:u w:val="single"/>
        </w:rPr>
        <w:t xml:space="preserve">Programmation </w:t>
      </w:r>
      <w:r>
        <w:rPr>
          <w:rFonts w:ascii="kaus Tripa" w:hAnsi="kaus Tripa"/>
          <w:b/>
          <w:bCs/>
          <w:sz w:val="48"/>
          <w:szCs w:val="48"/>
          <w:u w:val="single"/>
        </w:rPr>
        <w:t>EMC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/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574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100"/>
        <w:gridCol w:w="3000"/>
        <w:gridCol w:w="3175"/>
        <w:gridCol w:w="3174"/>
        <w:gridCol w:w="3125"/>
      </w:tblGrid>
      <w:tr>
        <w:trPr/>
        <w:tc>
          <w:tcPr>
            <w:tcW w:w="21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30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Connaissances, capacités et attitudes visées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1</w:t>
            </w:r>
          </w:p>
        </w:tc>
        <w:tc>
          <w:tcPr>
            <w:tcW w:w="3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420E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2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90016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3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99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Objets d’enseignement</w:t>
            </w:r>
          </w:p>
        </w:tc>
      </w:tr>
      <w:tr>
        <w:trPr>
          <w:trHeight w:val="590" w:hRule="atLeast"/>
        </w:trPr>
        <w:tc>
          <w:tcPr>
            <w:tcW w:w="21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La sensibilité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Soi et les autres</w:t>
            </w:r>
          </w:p>
        </w:tc>
        <w:tc>
          <w:tcPr>
            <w:tcW w:w="30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Identifier et partager des émotions, des sentiments dans des situations et à propos d'objets diversifiés : textes littéraires, œuvres d'art, la nature, débats portant sur la vie de la classe.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Connaissance et reconnaissance des émotions de base (peur, colère, tristesse, joie).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Connaissance et structuration du vocabulaire des sentiments et des émotions.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Expérience de la diversité des expressions des émotions et des sentiments.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MESSAGES CLAIRS</w:t>
            </w:r>
          </w:p>
        </w:tc>
      </w:tr>
      <w:tr>
        <w:trPr>
          <w:trHeight w:val="425" w:hRule="atLeast"/>
        </w:trPr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/ LITTÉRATURE :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  <w:r>
              <w:rPr>
                <w:sz w:val="21"/>
                <w:szCs w:val="21"/>
              </w:rPr>
              <w:t>.....................................................</w:t>
            </w:r>
          </w:p>
        </w:tc>
        <w:tc>
          <w:tcPr>
            <w:tcW w:w="3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 / LITTÉRATURE :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  <w:r>
              <w:rPr>
                <w:sz w:val="21"/>
                <w:szCs w:val="21"/>
              </w:rPr>
              <w:t>..................................................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 / LITTÉRATURE :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  <w:r>
              <w:rPr>
                <w:sz w:val="21"/>
                <w:szCs w:val="21"/>
              </w:rPr>
              <w:t>.................................................</w:t>
            </w:r>
          </w:p>
        </w:tc>
      </w:tr>
      <w:tr>
        <w:trPr>
          <w:trHeight w:val="425" w:hRule="atLeast"/>
        </w:trPr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EPS : Danse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  <w:r>
              <w:rPr>
                <w:sz w:val="21"/>
                <w:szCs w:val="21"/>
              </w:rPr>
              <w:t>.....................................................</w:t>
            </w:r>
          </w:p>
        </w:tc>
        <w:tc>
          <w:tcPr>
            <w:tcW w:w="3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EPS : Danse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  <w:r>
              <w:rPr>
                <w:sz w:val="21"/>
                <w:szCs w:val="21"/>
              </w:rPr>
              <w:t>.................................................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EPS : Danse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  <w:r>
              <w:rPr>
                <w:sz w:val="21"/>
                <w:szCs w:val="21"/>
              </w:rPr>
              <w:t>................................................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Se situer et s'exprimer en respec-tant les codes de la communi-cation orale, les règles de l'échan-ge et le statut de l'interlocuteur.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Travail sur les règles de la communication.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CONSEILS D’ÉLÈVES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Prendre soin de soi et des autres.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Le soin du langage : langage de la politesse.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Le soin du corps, de l'environnement immédiat et plus lointain.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Le soin des biens personnels et collectifs.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L'intégrité de la personne.</w:t>
            </w:r>
          </w:p>
        </w:tc>
      </w:tr>
      <w:tr>
        <w:trPr>
          <w:trHeight w:val="90" w:hRule="atLeast"/>
        </w:trPr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Accepter les différences.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Le respect des pairs et des adultes. Les atteintes à la personne d'autrui (racisme, antisémitisme, sexisme,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xénophobie, homophobie, harcèlement...).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Le respect des différences, interconnaissance, tolérance.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La conscience de la diversité des croyances et des convictions.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Identifier les symboles de la République présents dans l'école.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Connaître les valeurs et reconnaître les symboles de la République française : le drapeau.</w:t>
            </w:r>
          </w:p>
        </w:tc>
        <w:tc>
          <w:tcPr>
            <w:tcW w:w="3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Connaître les valeurs et reconnaître les symboles de la République française : les monuments.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Connaître les valeurs et reconnaître les symboles de la République française : l'hymne national, la fête nationale.</w:t>
            </w:r>
          </w:p>
        </w:tc>
      </w:tr>
      <w:tr>
        <w:trPr>
          <w:trHeight w:val="510" w:hRule="atLeast"/>
        </w:trPr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Apprendre à coopérer.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Initiation aux règles de la coopération.</w:t>
            </w:r>
          </w:p>
        </w:tc>
      </w:tr>
      <w:tr>
        <w:trPr/>
        <w:tc>
          <w:tcPr>
            <w:tcW w:w="21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Le droit et la règle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Des principes pour vivre avec les autres</w:t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Adapter sa tenue, son langage et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son comportement aux différents contextes de vie et aux différents interlocuteurs.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Initiation à la distinction des registres de langue.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Respecter les autres et les règles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de la vie collective. Participer à la définition de règles communes dans le cadre adéquat.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Les règles de vie de la classe et de l'école (élaborées par les élèves).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Les droits et les devoirs de l'enfant et de l'élève (la charte d'usage des Tuic de l'école (B2i-1), la Convention internationale des droits de l'enfant (Cide) : art. 2, 6, 9. </w:t>
            </w:r>
            <w:r>
              <w:rPr>
                <w:b/>
                <w:bCs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ISCUSSIONS À </w:t>
            </w:r>
            <w:r>
              <w:rPr>
                <w:b/>
                <w:bCs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 xml:space="preserve">ISÉE </w:t>
            </w:r>
            <w:r>
              <w:rPr>
                <w:b/>
                <w:bCs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HILOSOPHIQUE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Comprendre que la règle commune peut interdire, obliger, mais aussi autoriser.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Connaître ses droits et les moyens de les faire valoir.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Initiation au code de la route et aux règles de prudence, en lien avec l'attestation de première éducation à la route (cf document Aper).</w:t>
            </w:r>
          </w:p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Les différents contextes d'obéissance aux règles, le règlement intérieur, les sanctions. </w:t>
            </w:r>
            <w:r>
              <w:rPr>
                <w:b/>
                <w:bCs/>
                <w:sz w:val="21"/>
                <w:szCs w:val="21"/>
              </w:rPr>
              <w:t>DVP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Comprendre qu'il existe une gradation des sanctions et que la sanction est éducative (accom-pagnement, réparation...).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Initiation au vocabulaire de la règle et du droit (règle, règlement, loi...).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CONSEILS D’ÉLÈVES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Connaître quelques principes et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valeurs fondateurs d'une société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démocratique.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Les droits et les devoirs de l'élève.</w:t>
            </w:r>
          </w:p>
        </w:tc>
      </w:tr>
      <w:tr>
        <w:trPr>
          <w:trHeight w:val="819" w:hRule="atLeast"/>
        </w:trPr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L'égalité de droit entre les femmes et les hommes.</w:t>
            </w:r>
          </w:p>
        </w:tc>
        <w:tc>
          <w:tcPr>
            <w:tcW w:w="3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Les valeurs : la liberté, l'égalité, la laïcité.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La Déclaration des droits de l'homme et du citoyen de 1789, art. 1, 4, 6.</w:t>
            </w:r>
          </w:p>
        </w:tc>
      </w:tr>
      <w:tr>
        <w:trPr>
          <w:trHeight w:val="1227" w:hRule="atLeast"/>
        </w:trPr>
        <w:tc>
          <w:tcPr>
            <w:tcW w:w="21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Le jugement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Penser par soi-même et avec les autres</w:t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Exposer une courte argumentation pour exprimer et justifier un point de vue et un choix personnels.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 Le choix, sa justification.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 Connaissance de quelques structures simples de l'argumentation (connecteurs et lexique).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 Les raisons qui font juger une action bonne ou mauvaise.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b/>
                <w:bCs/>
                <w:sz w:val="21"/>
                <w:szCs w:val="21"/>
                <w:u w:val="none"/>
              </w:rPr>
              <w:t>APPROCHE DU JUSTE, DE L’INJUSTE, DU BIEN, DU MAL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b/>
                <w:bCs/>
                <w:sz w:val="21"/>
                <w:szCs w:val="21"/>
                <w:u w:val="none"/>
              </w:rPr>
              <w:t>DILEMMES MORAUX</w:t>
            </w:r>
          </w:p>
        </w:tc>
      </w:tr>
      <w:tr>
        <w:trPr>
          <w:trHeight w:val="1035" w:hRule="atLeast"/>
        </w:trPr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S'affirmer dans un débat sans imposer son point de vue aux autres et accepter le point de vue des autres.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b/>
                <w:bCs/>
                <w:sz w:val="21"/>
                <w:szCs w:val="21"/>
                <w:u w:val="none"/>
              </w:rPr>
              <w:t>CONSEILS D’ÉLÈVES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b/>
                <w:bCs/>
                <w:sz w:val="21"/>
                <w:szCs w:val="21"/>
                <w:u w:val="none"/>
              </w:rPr>
              <w:t>DVP</w:t>
            </w:r>
          </w:p>
        </w:tc>
      </w:tr>
      <w:tr>
        <w:trPr>
          <w:trHeight w:val="129" w:hRule="atLeast"/>
        </w:trPr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Aborder la laïcité comme liberté de penser et de croire ou de ne pas croire.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 Initiation aux différences entre penser, croire et savoir.</w:t>
            </w:r>
          </w:p>
        </w:tc>
      </w:tr>
      <w:tr>
        <w:trPr>
          <w:trHeight w:val="129" w:hRule="atLeast"/>
        </w:trPr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Différencier son intérêt particulier de l'intérêt général.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 La notion de bien commun dans la classe et dansl'école.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- Les valeurs personnelles et collectives.</w:t>
            </w:r>
          </w:p>
        </w:tc>
      </w:tr>
      <w:tr>
        <w:trPr/>
        <w:tc>
          <w:tcPr>
            <w:tcW w:w="21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L’engagement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Agir individuellement et collectivement</w:t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Respecter les engagements pris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envers soi-même et envers les autres.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S'impliquer dans la vie scolaire (actions, projets, instances...).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Je m’engage, je respecte mes engagements.</w:t>
            </w:r>
          </w:p>
        </w:tc>
        <w:tc>
          <w:tcPr>
            <w:tcW w:w="62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Je m’implique dans la vie de l’école, je prends des responsabilités.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Réaliser un projet collectif (projet de classe, d'école, communal, national...).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Projet :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…</w:t>
            </w:r>
            <w:r>
              <w:rPr>
                <w:b w:val="false"/>
                <w:bCs w:val="false"/>
                <w:sz w:val="21"/>
                <w:szCs w:val="21"/>
                <w:u w:val="none"/>
              </w:rPr>
              <w:t>....................................................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…</w:t>
            </w:r>
            <w:r>
              <w:rPr>
                <w:b w:val="false"/>
                <w:bCs w:val="false"/>
                <w:sz w:val="21"/>
                <w:szCs w:val="21"/>
                <w:u w:val="none"/>
              </w:rPr>
              <w:t>.....................................................</w:t>
            </w:r>
          </w:p>
        </w:tc>
        <w:tc>
          <w:tcPr>
            <w:tcW w:w="3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Projet :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…</w:t>
            </w:r>
            <w:r>
              <w:rPr>
                <w:b w:val="false"/>
                <w:bCs w:val="false"/>
                <w:sz w:val="21"/>
                <w:szCs w:val="21"/>
                <w:u w:val="none"/>
              </w:rPr>
              <w:t>..................................................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…</w:t>
            </w:r>
            <w:r>
              <w:rPr>
                <w:b w:val="false"/>
                <w:bCs w:val="false"/>
                <w:sz w:val="21"/>
                <w:szCs w:val="21"/>
                <w:u w:val="none"/>
              </w:rPr>
              <w:t>..................................................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Projet :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…</w:t>
            </w:r>
            <w:r>
              <w:rPr>
                <w:b w:val="false"/>
                <w:bCs w:val="false"/>
                <w:sz w:val="21"/>
                <w:szCs w:val="21"/>
                <w:u w:val="none"/>
              </w:rPr>
              <w:t>.................................................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…</w:t>
            </w:r>
            <w:r>
              <w:rPr>
                <w:b w:val="false"/>
                <w:bCs w:val="false"/>
                <w:sz w:val="21"/>
                <w:szCs w:val="21"/>
                <w:u w:val="none"/>
              </w:rPr>
              <w:t>.................................................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Coopérer en vue d'un objectif commun.</w:t>
            </w:r>
          </w:p>
        </w:tc>
        <w:tc>
          <w:tcPr>
            <w:tcW w:w="947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Tutorat, coopération, médiation par les pairs.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Expliquer en mots simples la fraternité, la solidarité.</w:t>
            </w:r>
          </w:p>
        </w:tc>
        <w:tc>
          <w:tcPr>
            <w:tcW w:w="9474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Prendre des responsabilités dans la classe et dans l'école.</w:t>
            </w:r>
          </w:p>
        </w:tc>
        <w:tc>
          <w:tcPr>
            <w:tcW w:w="947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- Le secours à autrui : sens du discernement, en lien avec le dispositif et l'attestation « apprendre à porter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secours » (APS). (cf grille APS).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- La participation démocratique.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- La responsabilité.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- Le développement durable :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Projet 1 :                                                   Projet 2 :                                                      Projet 3 :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…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.................................                               ….....................................                     …....................................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S'impliquer progressivement dans la vie collective à différents niveaux.</w:t>
            </w:r>
          </w:p>
        </w:tc>
        <w:tc>
          <w:tcPr>
            <w:tcW w:w="9474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kaus Tripa">
    <w:charset w:val="01"/>
    <w:family w:val="roman"/>
    <w:pitch w:val="variable"/>
  </w:font>
  <w:font w:name="kaus Trip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true"/>
      <w:bidi w:val="0"/>
      <w:jc w:val="left"/>
    </w:pPr>
    <w:rPr>
      <w:rFonts w:ascii="Liberation Serif" w:hAnsi="Liberation Serif" w:eastAsia="Lucida Sans Unicode" w:cs="FreeSans"/>
      <w:color w:val="00000A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1397</TotalTime>
  <Application>LibreOffice/5.1.4.2$Linux_X86_64 LibreOffice_project/10m0$Build-2</Application>
  <Pages>3</Pages>
  <Words>834</Words>
  <Characters>5067</Characters>
  <CharactersWithSpaces>5943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2016-08-12T13:26:42Z</dcterms:modified>
  <cp:revision>90</cp:revision>
  <dc:subject/>
  <dc:title/>
</cp:coreProperties>
</file>