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/>
      </w:pPr>
      <w:r>
        <w:rPr>
          <w:rFonts w:ascii="kaus Tripa" w:hAnsi="kaus Tripa"/>
          <w:sz w:val="48"/>
          <w:szCs w:val="48"/>
          <w:u w:val="single"/>
        </w:rPr>
        <w:t>Programmation Cycle 2</w:t>
      </w:r>
    </w:p>
    <w:p>
      <w:pPr>
        <w:pStyle w:val="Normal"/>
        <w:jc w:val="center"/>
        <w:rPr>
          <w:rFonts w:ascii="kaus Tripa" w:hAnsi="kaus Tripa"/>
          <w:b/>
          <w:b/>
          <w:bCs/>
          <w:sz w:val="48"/>
          <w:szCs w:val="48"/>
        </w:rPr>
      </w:pPr>
      <w:r>
        <w:rPr>
          <w:rFonts w:ascii="kaus Tripa" w:hAnsi="kaus Tripa"/>
          <w:b/>
          <w:bCs/>
          <w:sz w:val="48"/>
          <w:szCs w:val="48"/>
        </w:rPr>
        <w:t>Français</w:t>
      </w:r>
    </w:p>
    <w:p>
      <w:pPr>
        <w:pStyle w:val="Normal"/>
        <w:jc w:val="center"/>
        <w:rPr>
          <w:rFonts w:ascii="kaus Tripa" w:hAnsi="kaus Tripa"/>
          <w:sz w:val="48"/>
          <w:szCs w:val="48"/>
        </w:rPr>
      </w:pPr>
      <w:r>
        <w:rPr/>
      </w:r>
    </w:p>
    <w:p>
      <w:pPr>
        <w:pStyle w:val="Normal"/>
        <w:jc w:val="center"/>
        <w:rPr>
          <w:sz w:val="30"/>
          <w:szCs w:val="30"/>
        </w:rPr>
      </w:pPr>
      <w:r>
        <w:rPr>
          <w:sz w:val="30"/>
          <w:szCs w:val="30"/>
        </w:rPr>
      </w:r>
    </w:p>
    <w:tbl>
      <w:tblPr>
        <w:tblW w:w="14570" w:type="dxa"/>
        <w:jc w:val="left"/>
        <w:tblInd w:w="53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51" w:type="dxa"/>
          <w:bottom w:w="55" w:type="dxa"/>
          <w:right w:w="55" w:type="dxa"/>
        </w:tblCellMar>
      </w:tblPr>
      <w:tblGrid>
        <w:gridCol w:w="1305"/>
        <w:gridCol w:w="4421"/>
        <w:gridCol w:w="4422"/>
        <w:gridCol w:w="4421"/>
      </w:tblGrid>
      <w:tr>
        <w:trPr/>
        <w:tc>
          <w:tcPr>
            <w:tcW w:w="13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83CAFF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Objectifs</w:t>
            </w:r>
          </w:p>
        </w:tc>
        <w:tc>
          <w:tcPr>
            <w:tcW w:w="44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D320" w:val="clear"/>
            <w:tcMar>
              <w:left w:w="51" w:type="dxa"/>
            </w:tcMar>
          </w:tcPr>
          <w:p>
            <w:pPr>
              <w:pStyle w:val="Normal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Année 1 - CP</w:t>
            </w:r>
          </w:p>
        </w:tc>
        <w:tc>
          <w:tcPr>
            <w:tcW w:w="44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420E" w:val="clear"/>
            <w:tcMar>
              <w:left w:w="51" w:type="dxa"/>
            </w:tcMar>
          </w:tcPr>
          <w:p>
            <w:pPr>
              <w:pStyle w:val="Normal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Année 2 - CE1</w:t>
            </w:r>
          </w:p>
        </w:tc>
        <w:tc>
          <w:tcPr>
            <w:tcW w:w="44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C90016" w:val="clear"/>
            <w:tcMar>
              <w:left w:w="51" w:type="dxa"/>
            </w:tcMar>
          </w:tcPr>
          <w:p>
            <w:pPr>
              <w:pStyle w:val="Normal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Année 3 - CE2</w:t>
            </w:r>
          </w:p>
        </w:tc>
      </w:tr>
      <w:tr>
        <w:trPr/>
        <w:tc>
          <w:tcPr>
            <w:tcW w:w="14569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ECF00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b/>
                <w:b/>
                <w:bCs/>
                <w:sz w:val="30"/>
                <w:szCs w:val="30"/>
              </w:rPr>
            </w:pPr>
            <w:r>
              <w:rPr>
                <w:b/>
                <w:bCs/>
                <w:sz w:val="30"/>
                <w:szCs w:val="30"/>
              </w:rPr>
              <w:t>LANGAGE ORAL</w:t>
            </w:r>
          </w:p>
          <w:p>
            <w:pPr>
              <w:pStyle w:val="Contenudetableau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A</w:t>
            </w:r>
            <w:r>
              <w:rPr>
                <w:b/>
                <w:bCs/>
                <w:i w:val="false"/>
                <w:iCs w:val="false"/>
                <w:sz w:val="16"/>
                <w:szCs w:val="16"/>
              </w:rPr>
              <w:t xml:space="preserve">ttendus de fin de cycle : </w:t>
            </w:r>
          </w:p>
          <w:p>
            <w:pPr>
              <w:pStyle w:val="Contenudetableau"/>
              <w:jc w:val="left"/>
              <w:rPr>
                <w:b w:val="false"/>
                <w:b w:val="false"/>
                <w:bCs w:val="false"/>
                <w:i w:val="false"/>
                <w:i w:val="false"/>
                <w:iCs w:val="false"/>
                <w:sz w:val="16"/>
                <w:szCs w:val="16"/>
              </w:rPr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>- Conserver une attention soutenue lors de situations d’écoute ou d’interactions et manifester, si besoin et à bon escient, son incompréhension.</w:t>
            </w:r>
          </w:p>
          <w:p>
            <w:pPr>
              <w:pStyle w:val="Contenudetableau"/>
              <w:jc w:val="left"/>
              <w:rPr>
                <w:b w:val="false"/>
                <w:b w:val="false"/>
                <w:bCs w:val="false"/>
                <w:i w:val="false"/>
                <w:i w:val="false"/>
                <w:iCs w:val="false"/>
                <w:sz w:val="16"/>
                <w:szCs w:val="16"/>
              </w:rPr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>- Dans les différentes situations de communication, produire des énoncés clairs en tenant compte de l’objet du propos et des interlocuteurs.</w:t>
            </w:r>
          </w:p>
          <w:p>
            <w:pPr>
              <w:pStyle w:val="Contenudetableau"/>
              <w:jc w:val="left"/>
              <w:rPr>
                <w:b w:val="false"/>
                <w:b w:val="false"/>
                <w:bCs w:val="false"/>
                <w:i w:val="false"/>
                <w:i w:val="false"/>
                <w:iCs w:val="false"/>
                <w:sz w:val="16"/>
                <w:szCs w:val="16"/>
              </w:rPr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>- Pratiquer avec efficacité les formes de discours attendues – notamment, raconter, décrire, expliquer – dans des situations où les attentes sont explicites ; en particulier raconter seul un récit étudié en classe.</w:t>
            </w:r>
          </w:p>
          <w:p>
            <w:pPr>
              <w:pStyle w:val="Contenudetableau"/>
              <w:jc w:val="left"/>
              <w:rPr>
                <w:b w:val="false"/>
                <w:b w:val="false"/>
                <w:bCs w:val="false"/>
                <w:i w:val="false"/>
                <w:i w:val="false"/>
                <w:iCs w:val="false"/>
                <w:sz w:val="16"/>
                <w:szCs w:val="16"/>
              </w:rPr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>- Participer avec pertinence à un échange (questionner, répondre à une interpellation, exprimer un accord ou un désaccord, apporter un complément...).</w:t>
            </w:r>
          </w:p>
        </w:tc>
      </w:tr>
      <w:tr>
        <w:trPr/>
        <w:tc>
          <w:tcPr>
            <w:tcW w:w="1305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ECF00" w:val="clear"/>
            <w:tcMar>
              <w:left w:w="51" w:type="dxa"/>
            </w:tcMar>
            <w:vAlign w:val="center"/>
          </w:tcPr>
          <w:p>
            <w:pPr>
              <w:pStyle w:val="Normal"/>
              <w:jc w:val="center"/>
              <w:rPr>
                <w:rFonts w:ascii="Liberation Serif" w:hAnsi="Liberation Serif"/>
                <w:b/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Écouter pour comprendre des messages oraux ou des</w:t>
            </w:r>
          </w:p>
          <w:p>
            <w:pPr>
              <w:pStyle w:val="Normal"/>
              <w:jc w:val="center"/>
              <w:rPr>
                <w:rFonts w:ascii="Liberation Serif" w:hAnsi="Liberation Serif"/>
                <w:b/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textes lus par un adulte</w:t>
            </w:r>
          </w:p>
        </w:tc>
        <w:tc>
          <w:tcPr>
            <w:tcW w:w="44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 w:eastAsia="Lucida Sans Unicode" w:cs="FreeSans"/>
                <w:b w:val="false"/>
                <w:b w:val="false"/>
                <w:bCs w:val="false"/>
                <w:i/>
                <w:i/>
                <w:iCs/>
                <w:sz w:val="16"/>
                <w:szCs w:val="16"/>
              </w:rPr>
            </w:pPr>
            <w:r>
              <w:rPr>
                <w:rFonts w:eastAsia="Lucida Sans Unicode" w:cs="FreeSans"/>
                <w:b w:val="false"/>
                <w:bCs w:val="false"/>
                <w:i/>
                <w:iCs/>
                <w:sz w:val="16"/>
                <w:szCs w:val="16"/>
              </w:rPr>
              <w:t>- Maintien d’une attention orientée en fonction du but.</w:t>
            </w:r>
          </w:p>
        </w:tc>
        <w:tc>
          <w:tcPr>
            <w:tcW w:w="8843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 w:eastAsia="Lucida Sans Unicode" w:cs="FreeSans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eastAsia="Lucida Sans Unicode" w:cs="FreeSans"/>
                <w:b w:val="false"/>
                <w:bCs w:val="false"/>
                <w:sz w:val="16"/>
                <w:szCs w:val="16"/>
              </w:rPr>
              <w:t>- Maintien d’une attention orientée en fonction du but.</w:t>
            </w:r>
          </w:p>
        </w:tc>
      </w:tr>
      <w:tr>
        <w:trPr/>
        <w:tc>
          <w:tcPr>
            <w:tcW w:w="1305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ECF00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264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 w:eastAsia="Lucida Sans Unicode" w:cs="FreeSans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eastAsia="Lucida Sans Unicode" w:cs="FreeSans"/>
                <w:b w:val="false"/>
                <w:bCs w:val="false"/>
                <w:sz w:val="16"/>
                <w:szCs w:val="16"/>
              </w:rPr>
              <w:t>- Repérage et mémorisation des informations importantes ; enchainement mental de ces informations.</w:t>
            </w:r>
          </w:p>
        </w:tc>
      </w:tr>
      <w:tr>
        <w:trPr/>
        <w:tc>
          <w:tcPr>
            <w:tcW w:w="1305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ECF00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264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 w:eastAsia="Lucida Sans Unicode" w:cs="FreeSans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eastAsia="Lucida Sans Unicode" w:cs="FreeSans"/>
                <w:b w:val="false"/>
                <w:bCs w:val="false"/>
                <w:sz w:val="16"/>
                <w:szCs w:val="16"/>
              </w:rPr>
              <w:t>- Mobilisation des références culturelles nécessaires pour comprendre le message ou le texte.</w:t>
            </w:r>
          </w:p>
        </w:tc>
      </w:tr>
      <w:tr>
        <w:trPr/>
        <w:tc>
          <w:tcPr>
            <w:tcW w:w="1305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ECF00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264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 w:eastAsia="Lucida Sans Unicode" w:cs="FreeSans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eastAsia="Lucida Sans Unicode" w:cs="FreeSans"/>
                <w:b w:val="false"/>
                <w:bCs w:val="false"/>
                <w:sz w:val="16"/>
                <w:szCs w:val="16"/>
              </w:rPr>
              <w:t>- Attention portée au vocabulaire et à la mémorisation.</w:t>
            </w:r>
          </w:p>
        </w:tc>
      </w:tr>
      <w:tr>
        <w:trPr/>
        <w:tc>
          <w:tcPr>
            <w:tcW w:w="1305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ECF00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 w:eastAsia="Lucida Sans Unicode" w:cs="FreeSans"/>
                <w:b w:val="false"/>
                <w:b w:val="false"/>
                <w:bCs w:val="false"/>
                <w:i/>
                <w:i/>
                <w:iCs/>
                <w:sz w:val="16"/>
                <w:szCs w:val="16"/>
              </w:rPr>
            </w:pPr>
            <w:r>
              <w:rPr>
                <w:rFonts w:eastAsia="Lucida Sans Unicode" w:cs="FreeSans"/>
                <w:b w:val="false"/>
                <w:bCs w:val="false"/>
                <w:i/>
                <w:iCs/>
                <w:sz w:val="16"/>
                <w:szCs w:val="16"/>
              </w:rPr>
              <w:t>- Repérage d’éventuelles difficultés de compréhension.</w:t>
            </w:r>
          </w:p>
        </w:tc>
        <w:tc>
          <w:tcPr>
            <w:tcW w:w="8843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 w:eastAsia="Lucida Sans Unicode" w:cs="FreeSans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eastAsia="Lucida Sans Unicode" w:cs="FreeSans"/>
                <w:b w:val="false"/>
                <w:bCs w:val="false"/>
                <w:sz w:val="16"/>
                <w:szCs w:val="16"/>
              </w:rPr>
              <w:t>- Repérage d’éventuelles difficultés de compréhension.</w:t>
            </w:r>
          </w:p>
        </w:tc>
      </w:tr>
      <w:tr>
        <w:trPr/>
        <w:tc>
          <w:tcPr>
            <w:tcW w:w="1305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ECF00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b/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Dire pour être entendu et compris</w:t>
            </w:r>
          </w:p>
        </w:tc>
        <w:tc>
          <w:tcPr>
            <w:tcW w:w="13264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- Prise en compte des récepteurs ou interlocuteurs.</w:t>
            </w:r>
          </w:p>
        </w:tc>
      </w:tr>
      <w:tr>
        <w:trPr/>
        <w:tc>
          <w:tcPr>
            <w:tcW w:w="1305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ECF00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- Mobilisation de techniques qui font qu’on est écouté (articulation, débit, volume de la voix, regard).</w:t>
            </w:r>
          </w:p>
        </w:tc>
        <w:tc>
          <w:tcPr>
            <w:tcW w:w="8843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- Mobilisation de techniques qui font qu’on est écouté (articulation, débit, volume de la voix, intonation, posture, regard, gestualité...).</w:t>
            </w:r>
          </w:p>
        </w:tc>
      </w:tr>
      <w:tr>
        <w:trPr/>
        <w:tc>
          <w:tcPr>
            <w:tcW w:w="1305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ECF00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b w:val="false"/>
                <w:b w:val="false"/>
                <w:bCs w:val="false"/>
                <w:i/>
                <w:i/>
                <w:iCs/>
                <w:sz w:val="16"/>
                <w:szCs w:val="16"/>
              </w:rPr>
            </w:pPr>
            <w:r>
              <w:rPr>
                <w:b w:val="false"/>
                <w:bCs w:val="false"/>
                <w:i/>
                <w:iCs/>
                <w:sz w:val="16"/>
                <w:szCs w:val="16"/>
              </w:rPr>
              <w:t>- Organisation du discours.</w:t>
            </w:r>
          </w:p>
        </w:tc>
        <w:tc>
          <w:tcPr>
            <w:tcW w:w="8843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- Organisation du discours.</w:t>
            </w:r>
          </w:p>
        </w:tc>
      </w:tr>
      <w:tr>
        <w:trPr/>
        <w:tc>
          <w:tcPr>
            <w:tcW w:w="1305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ECF00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264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- Mémorisation des textes (en situation de récitation, d’interprétation).</w:t>
            </w:r>
          </w:p>
        </w:tc>
      </w:tr>
      <w:tr>
        <w:trPr/>
        <w:tc>
          <w:tcPr>
            <w:tcW w:w="1305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ECF00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264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- Lecture (en situation de mise en voix de textes).</w:t>
            </w:r>
          </w:p>
        </w:tc>
      </w:tr>
      <w:tr>
        <w:trPr/>
        <w:tc>
          <w:tcPr>
            <w:tcW w:w="1305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ECF00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b/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Participer à des échanges dans des situations</w:t>
            </w:r>
          </w:p>
          <w:p>
            <w:pPr>
              <w:pStyle w:val="Contenudetableau"/>
              <w:jc w:val="center"/>
              <w:rPr>
                <w:rFonts w:ascii="Liberation Serif" w:hAnsi="Liberation Serif"/>
                <w:b/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diversifiées</w:t>
            </w:r>
          </w:p>
        </w:tc>
        <w:tc>
          <w:tcPr>
            <w:tcW w:w="13264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- Respect des règles régulant les échanges.</w:t>
            </w:r>
          </w:p>
        </w:tc>
      </w:tr>
      <w:tr>
        <w:trPr/>
        <w:tc>
          <w:tcPr>
            <w:tcW w:w="1305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ECF00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- Conscience des enjeux.</w:t>
            </w:r>
          </w:p>
        </w:tc>
        <w:tc>
          <w:tcPr>
            <w:tcW w:w="8843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- Conscience et prise en compte des enjeux.</w:t>
            </w:r>
          </w:p>
        </w:tc>
      </w:tr>
      <w:tr>
        <w:trPr/>
        <w:tc>
          <w:tcPr>
            <w:tcW w:w="1305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ECF00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264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- Organisation du propos.</w:t>
            </w:r>
          </w:p>
        </w:tc>
      </w:tr>
      <w:tr>
        <w:trPr>
          <w:trHeight w:val="353" w:hRule="atLeast"/>
        </w:trPr>
        <w:tc>
          <w:tcPr>
            <w:tcW w:w="1305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ECF00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264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- Moyens de l’expression (vocabulaire, organisation syntaxique, enchainements...).</w:t>
            </w:r>
          </w:p>
        </w:tc>
      </w:tr>
      <w:tr>
        <w:trPr/>
        <w:tc>
          <w:tcPr>
            <w:tcW w:w="1305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ECF00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Adopter une distance critique par</w:t>
            </w:r>
          </w:p>
          <w:p>
            <w:pPr>
              <w:pStyle w:val="Contenudetableau"/>
              <w:jc w:val="center"/>
              <w:rPr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rapport au langage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b/>
                <w:bCs/>
                <w:sz w:val="17"/>
                <w:szCs w:val="17"/>
              </w:rPr>
              <w:t>produit</w:t>
            </w:r>
          </w:p>
        </w:tc>
        <w:tc>
          <w:tcPr>
            <w:tcW w:w="13264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- Règles régulant les échanges ; repérage du respect ou non de ces règles dans les propos d’un pair, aide à la reformulation.</w:t>
            </w:r>
          </w:p>
        </w:tc>
      </w:tr>
      <w:tr>
        <w:trPr/>
        <w:tc>
          <w:tcPr>
            <w:tcW w:w="1305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ECF00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264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- Prise en compte de règles explicites établies collectivement.</w:t>
            </w:r>
          </w:p>
        </w:tc>
      </w:tr>
      <w:tr>
        <w:trPr/>
        <w:tc>
          <w:tcPr>
            <w:tcW w:w="1305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ECF00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264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- Autocorrection après écoute (reformulations).</w:t>
            </w:r>
          </w:p>
        </w:tc>
      </w:tr>
    </w:tbl>
    <w:p>
      <w:pPr>
        <w:pStyle w:val="Normal"/>
        <w:jc w:val="center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Normal"/>
        <w:jc w:val="center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Normal"/>
        <w:jc w:val="center"/>
        <w:rPr>
          <w:sz w:val="12"/>
          <w:szCs w:val="12"/>
        </w:rPr>
      </w:pPr>
      <w:r>
        <w:rPr>
          <w:sz w:val="12"/>
          <w:szCs w:val="12"/>
        </w:rPr>
      </w:r>
    </w:p>
    <w:tbl>
      <w:tblPr>
        <w:tblW w:w="14570" w:type="dxa"/>
        <w:jc w:val="left"/>
        <w:tblInd w:w="53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51" w:type="dxa"/>
          <w:bottom w:w="55" w:type="dxa"/>
          <w:right w:w="55" w:type="dxa"/>
        </w:tblCellMar>
      </w:tblPr>
      <w:tblGrid>
        <w:gridCol w:w="1305"/>
        <w:gridCol w:w="4421"/>
        <w:gridCol w:w="4422"/>
        <w:gridCol w:w="4421"/>
      </w:tblGrid>
      <w:tr>
        <w:trPr/>
        <w:tc>
          <w:tcPr>
            <w:tcW w:w="13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83CAFF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Objectifs</w:t>
            </w:r>
          </w:p>
        </w:tc>
        <w:tc>
          <w:tcPr>
            <w:tcW w:w="44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D320" w:val="clear"/>
            <w:tcMar>
              <w:left w:w="51" w:type="dxa"/>
            </w:tcMar>
          </w:tcPr>
          <w:p>
            <w:pPr>
              <w:pStyle w:val="Normal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Année 1 - CP</w:t>
            </w:r>
          </w:p>
        </w:tc>
        <w:tc>
          <w:tcPr>
            <w:tcW w:w="44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420E" w:val="clear"/>
            <w:tcMar>
              <w:left w:w="51" w:type="dxa"/>
            </w:tcMar>
          </w:tcPr>
          <w:p>
            <w:pPr>
              <w:pStyle w:val="Normal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Année 2 - CE1</w:t>
            </w:r>
          </w:p>
        </w:tc>
        <w:tc>
          <w:tcPr>
            <w:tcW w:w="44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C90016" w:val="clear"/>
            <w:tcMar>
              <w:left w:w="51" w:type="dxa"/>
            </w:tcMar>
          </w:tcPr>
          <w:p>
            <w:pPr>
              <w:pStyle w:val="Normal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Année 3 - CE2</w:t>
            </w:r>
          </w:p>
        </w:tc>
      </w:tr>
      <w:tr>
        <w:trPr/>
        <w:tc>
          <w:tcPr>
            <w:tcW w:w="14569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B515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b/>
                <w:b/>
                <w:bCs/>
                <w:sz w:val="30"/>
                <w:szCs w:val="30"/>
              </w:rPr>
            </w:pPr>
            <w:r>
              <w:rPr>
                <w:b/>
                <w:bCs/>
                <w:sz w:val="30"/>
                <w:szCs w:val="30"/>
              </w:rPr>
              <w:t>LECTURE ET COMPRÉHENSION DE L’ÉCRIT</w:t>
            </w:r>
          </w:p>
          <w:p>
            <w:pPr>
              <w:pStyle w:val="Contenudetableau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Attendus de fin de cycle :</w:t>
            </w:r>
          </w:p>
          <w:p>
            <w:pPr>
              <w:pStyle w:val="Contenudetableau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>- Identifier des mots rapidement : décoder aisément des mots inconnus réguliers, reconnaitre des mots fréquents et des mots irréguliers mémorisés.</w:t>
            </w:r>
          </w:p>
          <w:p>
            <w:pPr>
              <w:pStyle w:val="Contenudetableau"/>
              <w:jc w:val="left"/>
              <w:rPr>
                <w:b w:val="false"/>
                <w:b w:val="false"/>
                <w:bCs w:val="false"/>
                <w:i w:val="false"/>
                <w:i w:val="false"/>
                <w:iCs w:val="false"/>
                <w:sz w:val="16"/>
                <w:szCs w:val="16"/>
              </w:rPr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>- Lire et comprendre des textes adaptés à la maturité et à la culture scolaire des élèves.</w:t>
            </w:r>
          </w:p>
          <w:p>
            <w:pPr>
              <w:pStyle w:val="Contenudetableau"/>
              <w:jc w:val="left"/>
              <w:rPr>
                <w:b w:val="false"/>
                <w:b w:val="false"/>
                <w:bCs w:val="false"/>
                <w:i w:val="false"/>
                <w:i w:val="false"/>
                <w:iCs w:val="false"/>
                <w:sz w:val="16"/>
                <w:szCs w:val="16"/>
              </w:rPr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>- Lire à voix haute avec fluidité, après préparation, un texte d’une demi-page ; participer à une lecture dialoguée après préparation.</w:t>
            </w:r>
          </w:p>
        </w:tc>
      </w:tr>
      <w:tr>
        <w:trPr/>
        <w:tc>
          <w:tcPr>
            <w:tcW w:w="1305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B515" w:val="clear"/>
            <w:tcMar>
              <w:left w:w="51" w:type="dxa"/>
            </w:tcMar>
            <w:vAlign w:val="center"/>
          </w:tcPr>
          <w:p>
            <w:pPr>
              <w:pStyle w:val="Normal"/>
              <w:jc w:val="center"/>
              <w:rPr>
                <w:rFonts w:ascii="Liberation Serif" w:hAnsi="Liberation Serif"/>
                <w:b/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Identifier des mots de manière de plus en plus aisée (décodage associé à l’encodage)</w:t>
            </w:r>
          </w:p>
        </w:tc>
        <w:tc>
          <w:tcPr>
            <w:tcW w:w="13264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 w:eastAsia="Lucida Sans Unicode" w:cs="FreeSans"/>
                <w:b w:val="false"/>
                <w:b w:val="false"/>
                <w:bCs w:val="false"/>
                <w:i w:val="false"/>
                <w:i w:val="false"/>
                <w:iCs w:val="false"/>
                <w:sz w:val="16"/>
                <w:szCs w:val="16"/>
              </w:rPr>
            </w:pPr>
            <w:r>
              <w:rPr>
                <w:rFonts w:eastAsia="Lucida Sans Unicode" w:cs="FreeSans"/>
                <w:b w:val="false"/>
                <w:bCs w:val="false"/>
                <w:i w:val="false"/>
                <w:iCs w:val="false"/>
                <w:sz w:val="16"/>
                <w:szCs w:val="16"/>
              </w:rPr>
              <w:t>- Discrimination auditive fine et analyse des constituants des mots (conscience phonologique).</w:t>
            </w:r>
          </w:p>
        </w:tc>
      </w:tr>
      <w:tr>
        <w:trPr/>
        <w:tc>
          <w:tcPr>
            <w:tcW w:w="1305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B515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264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 w:eastAsia="Lucida Sans Unicode" w:cs="FreeSans"/>
                <w:b w:val="false"/>
                <w:b w:val="false"/>
                <w:bCs w:val="false"/>
                <w:i w:val="false"/>
                <w:i w:val="false"/>
                <w:iCs w:val="false"/>
                <w:sz w:val="16"/>
                <w:szCs w:val="16"/>
              </w:rPr>
            </w:pPr>
            <w:r>
              <w:rPr>
                <w:rFonts w:eastAsia="Lucida Sans Unicode" w:cs="FreeSans"/>
                <w:b w:val="false"/>
                <w:bCs w:val="false"/>
                <w:i w:val="false"/>
                <w:iCs w:val="false"/>
                <w:sz w:val="16"/>
                <w:szCs w:val="16"/>
              </w:rPr>
              <w:t>- Discrimination visuelle et connaissance des lettres.</w:t>
            </w:r>
          </w:p>
        </w:tc>
      </w:tr>
      <w:tr>
        <w:trPr/>
        <w:tc>
          <w:tcPr>
            <w:tcW w:w="1305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B515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264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 w:eastAsia="Lucida Sans Unicode" w:cs="FreeSans"/>
                <w:b w:val="false"/>
                <w:b w:val="false"/>
                <w:bCs w:val="false"/>
                <w:i w:val="false"/>
                <w:i w:val="false"/>
                <w:iCs w:val="false"/>
                <w:sz w:val="16"/>
                <w:szCs w:val="16"/>
              </w:rPr>
            </w:pPr>
            <w:r>
              <w:rPr>
                <w:rFonts w:eastAsia="Lucida Sans Unicode" w:cs="FreeSans"/>
                <w:b w:val="false"/>
                <w:bCs w:val="false"/>
                <w:i w:val="false"/>
                <w:iCs w:val="false"/>
                <w:sz w:val="16"/>
                <w:szCs w:val="16"/>
              </w:rPr>
              <w:t>- Correspondances graphophonologiques ; combinatoire (construction des syllabes simples et complexes).</w:t>
            </w:r>
          </w:p>
        </w:tc>
      </w:tr>
      <w:tr>
        <w:trPr/>
        <w:tc>
          <w:tcPr>
            <w:tcW w:w="1305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B515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264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 w:eastAsia="Lucida Sans Unicode" w:cs="FreeSans"/>
                <w:b w:val="false"/>
                <w:b w:val="false"/>
                <w:bCs w:val="false"/>
                <w:i w:val="false"/>
                <w:i w:val="false"/>
                <w:iCs w:val="false"/>
                <w:sz w:val="16"/>
                <w:szCs w:val="16"/>
              </w:rPr>
            </w:pPr>
            <w:r>
              <w:rPr>
                <w:rFonts w:eastAsia="Lucida Sans Unicode" w:cs="FreeSans"/>
                <w:b w:val="false"/>
                <w:bCs w:val="false"/>
                <w:i w:val="false"/>
                <w:iCs w:val="false"/>
                <w:sz w:val="16"/>
                <w:szCs w:val="16"/>
              </w:rPr>
              <w:t>- Mémorisation des composantes du code.</w:t>
            </w:r>
          </w:p>
        </w:tc>
      </w:tr>
      <w:tr>
        <w:trPr/>
        <w:tc>
          <w:tcPr>
            <w:tcW w:w="1305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B515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264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 w:eastAsia="Lucida Sans Unicode" w:cs="FreeSans"/>
                <w:b w:val="false"/>
                <w:b w:val="false"/>
                <w:bCs w:val="false"/>
                <w:i w:val="false"/>
                <w:i w:val="false"/>
                <w:iCs w:val="false"/>
                <w:sz w:val="16"/>
                <w:szCs w:val="16"/>
              </w:rPr>
            </w:pPr>
            <w:r>
              <w:rPr>
                <w:rFonts w:eastAsia="Lucida Sans Unicode" w:cs="FreeSans"/>
                <w:b w:val="false"/>
                <w:bCs w:val="false"/>
                <w:i w:val="false"/>
                <w:iCs w:val="false"/>
                <w:sz w:val="16"/>
                <w:szCs w:val="16"/>
              </w:rPr>
              <w:t>- Mémorisation de mots fréquents (notamment en situation scolaire) et irréguliers.</w:t>
            </w:r>
          </w:p>
        </w:tc>
      </w:tr>
      <w:tr>
        <w:trPr/>
        <w:tc>
          <w:tcPr>
            <w:tcW w:w="1305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B515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b/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Comprendre un texte (lien avec l’écriture)</w:t>
            </w:r>
          </w:p>
        </w:tc>
        <w:tc>
          <w:tcPr>
            <w:tcW w:w="13264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z w:val="16"/>
                <w:szCs w:val="16"/>
              </w:rPr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>- Mobilisation de la compétence de décodage.</w:t>
            </w:r>
          </w:p>
        </w:tc>
      </w:tr>
      <w:tr>
        <w:trPr/>
        <w:tc>
          <w:tcPr>
            <w:tcW w:w="1305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B515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264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z w:val="16"/>
                <w:szCs w:val="16"/>
              </w:rPr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>- Mise en œuvre (guidée puis autonome) d’une démarche pour découvrir et comprendre un texte (parcourir le texte de manière rigoureuse et ordonnée ; identifier les informations clés et relier ces informations ; identifier les liens logiques et chronologiques ; mettre en relation avec ses propres connaissances ; affronter des mots inconnus ; formuler des hypothèses...).</w:t>
            </w:r>
          </w:p>
        </w:tc>
      </w:tr>
      <w:tr>
        <w:trPr/>
        <w:tc>
          <w:tcPr>
            <w:tcW w:w="1305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B515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264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z w:val="16"/>
                <w:szCs w:val="16"/>
              </w:rPr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>- Mobilisation des expériences antérieures de lecture et des connaissances qui en sont issues (sur des univers, des personnages-types, des scripts...).</w:t>
            </w:r>
          </w:p>
        </w:tc>
      </w:tr>
      <w:tr>
        <w:trPr/>
        <w:tc>
          <w:tcPr>
            <w:tcW w:w="1305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B515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264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z w:val="16"/>
                <w:szCs w:val="16"/>
              </w:rPr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>- Mobilisation de connaissances lexicales et de connaissances portant sur l’univers évoqué par les textes.</w:t>
            </w:r>
          </w:p>
        </w:tc>
      </w:tr>
      <w:tr>
        <w:trPr/>
        <w:tc>
          <w:tcPr>
            <w:tcW w:w="1305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B515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b/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Pratiquer différentes formes de lecture</w:t>
            </w:r>
          </w:p>
        </w:tc>
        <w:tc>
          <w:tcPr>
            <w:tcW w:w="13264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z w:val="16"/>
                <w:szCs w:val="16"/>
              </w:rPr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>- Mobilisation de la démarche permettant de comprendre.</w:t>
            </w:r>
          </w:p>
        </w:tc>
      </w:tr>
      <w:tr>
        <w:trPr/>
        <w:tc>
          <w:tcPr>
            <w:tcW w:w="1305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B515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264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z w:val="16"/>
                <w:szCs w:val="16"/>
              </w:rPr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>- Prise en compte des enjeux de la lecture notamment : lire pour réaliser quelque chose ; lire pour découvrir ou valider des informations sur... ; lire une histoire pour la comprendre et la raconter à son tour...</w:t>
            </w:r>
          </w:p>
        </w:tc>
      </w:tr>
      <w:tr>
        <w:trPr/>
        <w:tc>
          <w:tcPr>
            <w:tcW w:w="1305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B515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264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z w:val="16"/>
                <w:szCs w:val="16"/>
              </w:rPr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>- Mobilisation des connaissances lexicales en lien avec le texte lu.</w:t>
            </w:r>
          </w:p>
        </w:tc>
      </w:tr>
      <w:tr>
        <w:trPr>
          <w:trHeight w:val="353" w:hRule="atLeast"/>
        </w:trPr>
        <w:tc>
          <w:tcPr>
            <w:tcW w:w="1305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B515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264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z w:val="16"/>
                <w:szCs w:val="16"/>
              </w:rPr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>- Repérage dans des lieux de lecture (bibliothèque de l’école ou du quartier notamment).</w:t>
            </w:r>
          </w:p>
        </w:tc>
      </w:tr>
      <w:tr>
        <w:trPr>
          <w:trHeight w:val="353" w:hRule="atLeast"/>
        </w:trPr>
        <w:tc>
          <w:tcPr>
            <w:tcW w:w="1305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B515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E6E6FF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z w:val="16"/>
                <w:szCs w:val="16"/>
              </w:rPr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</w:r>
          </w:p>
        </w:tc>
        <w:tc>
          <w:tcPr>
            <w:tcW w:w="8843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z w:val="16"/>
                <w:szCs w:val="16"/>
              </w:rPr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>- Prise de repères dans les manuels, dans des ouvrages documentaires.</w:t>
            </w:r>
          </w:p>
        </w:tc>
      </w:tr>
      <w:tr>
        <w:trPr>
          <w:trHeight w:val="372" w:hRule="atLeast"/>
        </w:trPr>
        <w:tc>
          <w:tcPr>
            <w:tcW w:w="1305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B515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Lire à voix haute (lien avec le langage oral)</w:t>
            </w:r>
          </w:p>
        </w:tc>
        <w:tc>
          <w:tcPr>
            <w:tcW w:w="13264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- Mobilisation de la compétence de décodage et de la compréhension du texte.</w:t>
            </w:r>
          </w:p>
        </w:tc>
      </w:tr>
      <w:tr>
        <w:trPr/>
        <w:tc>
          <w:tcPr>
            <w:tcW w:w="1305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B515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264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- Identification et prise en compte des marques de ponctuation.</w:t>
            </w:r>
          </w:p>
        </w:tc>
      </w:tr>
      <w:tr>
        <w:trPr/>
        <w:tc>
          <w:tcPr>
            <w:tcW w:w="1305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B515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264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- Recherche d’effets à produire sur l’auditoire en lien avec la compréhension (expressivité).</w:t>
            </w:r>
          </w:p>
        </w:tc>
      </w:tr>
      <w:tr>
        <w:trPr/>
        <w:tc>
          <w:tcPr>
            <w:tcW w:w="1305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B515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Contrôler sa compréhension</w:t>
            </w:r>
          </w:p>
        </w:tc>
        <w:tc>
          <w:tcPr>
            <w:tcW w:w="13264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- Justifications possibles de son interprétation ou de ses réponses ; appui sur le texte et sur les autres connaissances mobilisées.</w:t>
            </w:r>
          </w:p>
        </w:tc>
      </w:tr>
      <w:tr>
        <w:trPr/>
        <w:tc>
          <w:tcPr>
            <w:tcW w:w="1305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B515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264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- Repérage de ses difficultés ; tentatives pour les expliquer.</w:t>
            </w:r>
          </w:p>
        </w:tc>
      </w:tr>
      <w:tr>
        <w:trPr/>
        <w:tc>
          <w:tcPr>
            <w:tcW w:w="1305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B515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264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-  Maintien d’une attitude active et réflexive : vigilance relative à l’objectif (compréhension, buts de la lecture) ; demande d’aide ; mise en œuvre de stratégies pour résoudre ses difficultés...</w:t>
            </w:r>
          </w:p>
        </w:tc>
      </w:tr>
    </w:tbl>
    <w:p>
      <w:pPr>
        <w:pStyle w:val="Normal"/>
        <w:rPr/>
      </w:pPr>
      <w:r>
        <w:rPr/>
        <w:t xml:space="preserve">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  <w:r>
        <w:br w:type="page"/>
      </w:r>
    </w:p>
    <w:tbl>
      <w:tblPr>
        <w:tblW w:w="14570" w:type="dxa"/>
        <w:jc w:val="left"/>
        <w:tblInd w:w="53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51" w:type="dxa"/>
          <w:bottom w:w="55" w:type="dxa"/>
          <w:right w:w="55" w:type="dxa"/>
        </w:tblCellMar>
      </w:tblPr>
      <w:tblGrid>
        <w:gridCol w:w="1304"/>
        <w:gridCol w:w="4420"/>
        <w:gridCol w:w="4422"/>
        <w:gridCol w:w="4423"/>
      </w:tblGrid>
      <w:tr>
        <w:trPr/>
        <w:tc>
          <w:tcPr>
            <w:tcW w:w="13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83CAFF" w:val="clear"/>
            <w:tcMar>
              <w:left w:w="51" w:type="dxa"/>
            </w:tcMar>
          </w:tcPr>
          <w:p>
            <w:pPr>
              <w:pStyle w:val="Contenudetableau"/>
              <w:pageBreakBefore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Objectifs</w:t>
            </w:r>
          </w:p>
        </w:tc>
        <w:tc>
          <w:tcPr>
            <w:tcW w:w="44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D320" w:val="clear"/>
            <w:tcMar>
              <w:left w:w="51" w:type="dxa"/>
            </w:tcMar>
          </w:tcPr>
          <w:p>
            <w:pPr>
              <w:pStyle w:val="Normal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Année 1 - CP</w:t>
            </w:r>
          </w:p>
        </w:tc>
        <w:tc>
          <w:tcPr>
            <w:tcW w:w="44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420E" w:val="clear"/>
            <w:tcMar>
              <w:left w:w="51" w:type="dxa"/>
            </w:tcMar>
          </w:tcPr>
          <w:p>
            <w:pPr>
              <w:pStyle w:val="Normal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Année 2 - CE1</w:t>
            </w:r>
          </w:p>
        </w:tc>
        <w:tc>
          <w:tcPr>
            <w:tcW w:w="44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C90016" w:val="clear"/>
            <w:tcMar>
              <w:left w:w="51" w:type="dxa"/>
            </w:tcMar>
          </w:tcPr>
          <w:p>
            <w:pPr>
              <w:pStyle w:val="Normal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Année 3 - CE2</w:t>
            </w:r>
          </w:p>
        </w:tc>
      </w:tr>
      <w:tr>
        <w:trPr/>
        <w:tc>
          <w:tcPr>
            <w:tcW w:w="14569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0084D1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b/>
                <w:b/>
                <w:bCs/>
                <w:sz w:val="30"/>
                <w:szCs w:val="30"/>
              </w:rPr>
            </w:pPr>
            <w:r>
              <w:rPr>
                <w:b/>
                <w:bCs/>
                <w:sz w:val="30"/>
                <w:szCs w:val="30"/>
              </w:rPr>
              <w:t>ÉCRITURE</w:t>
            </w:r>
          </w:p>
          <w:p>
            <w:pPr>
              <w:pStyle w:val="Contenudetableau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Attendus de fin de cycle :</w:t>
            </w:r>
          </w:p>
          <w:p>
            <w:pPr>
              <w:pStyle w:val="Contenudetableau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>- Copier ou transcrire, dans une écriture lisible, un texte d’une dizaine de lignes en respectant la ponctuation, l’orthographe et en soignant la présentation.</w:t>
            </w:r>
          </w:p>
          <w:p>
            <w:pPr>
              <w:pStyle w:val="Contenudetableau"/>
              <w:jc w:val="left"/>
              <w:rPr>
                <w:b w:val="false"/>
                <w:b w:val="false"/>
                <w:bCs w:val="false"/>
                <w:i w:val="false"/>
                <w:i w:val="false"/>
                <w:iCs w:val="false"/>
                <w:sz w:val="16"/>
                <w:szCs w:val="16"/>
              </w:rPr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>- Rédiger un texte d’environ une demi-page, cohérent, organisé, ponctué, pertinent par rapport à la visée et au destinataire.</w:t>
            </w:r>
          </w:p>
          <w:p>
            <w:pPr>
              <w:pStyle w:val="Contenudetableau"/>
              <w:jc w:val="left"/>
              <w:rPr>
                <w:b w:val="false"/>
                <w:b w:val="false"/>
                <w:bCs w:val="false"/>
                <w:i w:val="false"/>
                <w:i w:val="false"/>
                <w:iCs w:val="false"/>
                <w:sz w:val="16"/>
                <w:szCs w:val="16"/>
              </w:rPr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>- Améliorer une production, notamment l’orthographe, en tenant compte d’indications.</w:t>
            </w:r>
          </w:p>
        </w:tc>
      </w:tr>
      <w:tr>
        <w:trPr>
          <w:trHeight w:val="624" w:hRule="atLeast"/>
        </w:trPr>
        <w:tc>
          <w:tcPr>
            <w:tcW w:w="1304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0084D1" w:val="clear"/>
            <w:tcMar>
              <w:left w:w="51" w:type="dxa"/>
            </w:tcMar>
            <w:vAlign w:val="center"/>
          </w:tcPr>
          <w:p>
            <w:pPr>
              <w:pStyle w:val="Normal"/>
              <w:jc w:val="center"/>
              <w:rPr>
                <w:rFonts w:ascii="Liberation Serif" w:hAnsi="Liberation Serif"/>
                <w:b/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Copier de manière experte (lien avec la lecture)</w:t>
            </w:r>
          </w:p>
        </w:tc>
        <w:tc>
          <w:tcPr>
            <w:tcW w:w="13265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 w:eastAsia="Lucida Sans Unicode" w:cs="FreeSans"/>
                <w:b w:val="false"/>
                <w:b w:val="false"/>
                <w:bCs w:val="false"/>
                <w:i w:val="false"/>
                <w:i w:val="false"/>
                <w:iCs w:val="false"/>
                <w:sz w:val="16"/>
                <w:szCs w:val="16"/>
              </w:rPr>
            </w:pPr>
            <w:r>
              <w:rPr>
                <w:rFonts w:eastAsia="Lucida Sans Unicode" w:cs="FreeSans"/>
                <w:b w:val="false"/>
                <w:bCs w:val="false"/>
                <w:i w:val="false"/>
                <w:iCs w:val="false"/>
                <w:sz w:val="16"/>
                <w:szCs w:val="16"/>
              </w:rPr>
              <w:t>- Maitrise des gestes de l’écriture cursive exécutés avec une vitesse et une sureté croissantes.</w:t>
            </w:r>
          </w:p>
        </w:tc>
      </w:tr>
      <w:tr>
        <w:trPr>
          <w:trHeight w:val="624" w:hRule="atLeast"/>
        </w:trPr>
        <w:tc>
          <w:tcPr>
            <w:tcW w:w="1304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0084D1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265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 w:eastAsia="Lucida Sans Unicode" w:cs="FreeSans"/>
                <w:b w:val="false"/>
                <w:b w:val="false"/>
                <w:bCs w:val="false"/>
                <w:i w:val="false"/>
                <w:i w:val="false"/>
                <w:iCs w:val="false"/>
                <w:sz w:val="16"/>
                <w:szCs w:val="16"/>
              </w:rPr>
            </w:pPr>
            <w:r>
              <w:rPr>
                <w:rFonts w:eastAsia="Lucida Sans Unicode" w:cs="FreeSans"/>
                <w:b w:val="false"/>
                <w:bCs w:val="false"/>
                <w:i w:val="false"/>
                <w:iCs w:val="false"/>
                <w:sz w:val="16"/>
                <w:szCs w:val="16"/>
              </w:rPr>
              <w:t>- Correspondances entre diverses écritures des lettres pour transcrire un texte (donné en script et copié en cursive, ou l’inverse pour une copie au clavier).</w:t>
            </w:r>
          </w:p>
        </w:tc>
      </w:tr>
      <w:tr>
        <w:trPr>
          <w:trHeight w:val="624" w:hRule="atLeast"/>
        </w:trPr>
        <w:tc>
          <w:tcPr>
            <w:tcW w:w="1304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0084D1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265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 w:eastAsia="Lucida Sans Unicode" w:cs="FreeSans"/>
                <w:b w:val="false"/>
                <w:b w:val="false"/>
                <w:bCs w:val="false"/>
                <w:i w:val="false"/>
                <w:i w:val="false"/>
                <w:iCs w:val="false"/>
                <w:sz w:val="16"/>
                <w:szCs w:val="16"/>
              </w:rPr>
            </w:pPr>
            <w:r>
              <w:rPr>
                <w:rFonts w:eastAsia="Lucida Sans Unicode" w:cs="FreeSans"/>
                <w:b w:val="false"/>
                <w:bCs w:val="false"/>
                <w:i w:val="false"/>
                <w:iCs w:val="false"/>
                <w:sz w:val="16"/>
                <w:szCs w:val="16"/>
              </w:rPr>
              <w:t>- Stratégies de copie pour dépasser la copie lettre à lettre : prise d’indices, mémorisation de mots ou groupes de mots.</w:t>
            </w:r>
          </w:p>
        </w:tc>
      </w:tr>
      <w:tr>
        <w:trPr>
          <w:trHeight w:val="624" w:hRule="atLeast"/>
        </w:trPr>
        <w:tc>
          <w:tcPr>
            <w:tcW w:w="1304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0084D1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265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 w:eastAsia="Lucida Sans Unicode" w:cs="FreeSans"/>
                <w:b w:val="false"/>
                <w:b w:val="false"/>
                <w:bCs w:val="false"/>
                <w:i w:val="false"/>
                <w:i w:val="false"/>
                <w:iCs w:val="false"/>
                <w:sz w:val="16"/>
                <w:szCs w:val="16"/>
              </w:rPr>
            </w:pPr>
            <w:r>
              <w:rPr>
                <w:rFonts w:eastAsia="Lucida Sans Unicode" w:cs="FreeSans"/>
                <w:b w:val="false"/>
                <w:bCs w:val="false"/>
                <w:i w:val="false"/>
                <w:iCs w:val="false"/>
                <w:sz w:val="16"/>
                <w:szCs w:val="16"/>
              </w:rPr>
              <w:t>- Lecture (relire pour vérifier la conformité).</w:t>
            </w:r>
          </w:p>
        </w:tc>
      </w:tr>
      <w:tr>
        <w:trPr>
          <w:trHeight w:val="624" w:hRule="atLeast"/>
        </w:trPr>
        <w:tc>
          <w:tcPr>
            <w:tcW w:w="1304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0084D1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265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 w:eastAsia="Lucida Sans Unicode" w:cs="FreeSans"/>
                <w:b w:val="false"/>
                <w:b w:val="false"/>
                <w:bCs w:val="false"/>
                <w:i w:val="false"/>
                <w:i w:val="false"/>
                <w:iCs w:val="false"/>
                <w:sz w:val="16"/>
                <w:szCs w:val="16"/>
              </w:rPr>
            </w:pPr>
            <w:r>
              <w:rPr>
                <w:rFonts w:eastAsia="Lucida Sans Unicode" w:cs="FreeSans"/>
                <w:b w:val="false"/>
                <w:bCs w:val="false"/>
                <w:i w:val="false"/>
                <w:iCs w:val="false"/>
                <w:sz w:val="16"/>
                <w:szCs w:val="16"/>
              </w:rPr>
              <w:t>- Maniement du traitement de texte pour la mise en page de courts textes.</w:t>
            </w:r>
          </w:p>
        </w:tc>
      </w:tr>
      <w:tr>
        <w:trPr>
          <w:trHeight w:val="680" w:hRule="exact"/>
        </w:trPr>
        <w:tc>
          <w:tcPr>
            <w:tcW w:w="1304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0084D1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b/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Produire des écrits en commençant à</w:t>
            </w:r>
          </w:p>
          <w:p>
            <w:pPr>
              <w:pStyle w:val="Contenudetableau"/>
              <w:jc w:val="center"/>
              <w:rPr>
                <w:rFonts w:ascii="Liberation Serif" w:hAnsi="Liberation Serif"/>
                <w:b/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s’approprier une démarche (lien avec la</w:t>
            </w:r>
          </w:p>
          <w:p>
            <w:pPr>
              <w:pStyle w:val="Contenudetableau"/>
              <w:jc w:val="center"/>
              <w:rPr>
                <w:rFonts w:ascii="Liberation Serif" w:hAnsi="Liberation Serif"/>
                <w:b/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lecture, le langage oral et l’étude de la langue)</w:t>
            </w:r>
          </w:p>
        </w:tc>
        <w:tc>
          <w:tcPr>
            <w:tcW w:w="13265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- Identification de caractéristiques propres à différents genres de textes. Mise en œuvre (guidée, puis autonome) d’une démarche de production de textes : trouver et organiser des idées, élaborer des phrases qui s’enchainent avec cohérence, écrire ces phrases.</w:t>
            </w:r>
          </w:p>
        </w:tc>
      </w:tr>
      <w:tr>
        <w:trPr>
          <w:trHeight w:val="680" w:hRule="exact"/>
        </w:trPr>
        <w:tc>
          <w:tcPr>
            <w:tcW w:w="1304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0084D1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- Connaissances sur la langue (mémoire orthographique des mots, ponctuation).</w:t>
            </w:r>
          </w:p>
        </w:tc>
        <w:tc>
          <w:tcPr>
            <w:tcW w:w="8845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- Connaissances sur la langue (mémoire orthographique des mots, règles d’accord, ponctuation, organisateurs du discours...).</w:t>
            </w:r>
          </w:p>
        </w:tc>
      </w:tr>
      <w:tr>
        <w:trPr>
          <w:trHeight w:val="680" w:hRule="exact"/>
        </w:trPr>
        <w:tc>
          <w:tcPr>
            <w:tcW w:w="1304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0084D1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265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z w:val="16"/>
                <w:szCs w:val="16"/>
              </w:rPr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>- Mobilisation des outils à disposition dans la classe liés à l’étude de la langue : imagiers, affiches, dictionnaire à entrée phonologique, dictionnaires, manuels, livres, cahiers de traces écrites...</w:t>
            </w:r>
          </w:p>
        </w:tc>
      </w:tr>
      <w:tr>
        <w:trPr>
          <w:trHeight w:val="624" w:hRule="exact"/>
        </w:trPr>
        <w:tc>
          <w:tcPr>
            <w:tcW w:w="1304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0084D1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b/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Réviser et améliorer l’écrit qu’on a</w:t>
            </w:r>
          </w:p>
          <w:p>
            <w:pPr>
              <w:pStyle w:val="Contenudetableau"/>
              <w:jc w:val="center"/>
              <w:rPr>
                <w:rFonts w:ascii="Liberation Serif" w:hAnsi="Liberation Serif"/>
                <w:b/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produit (lien avec l’étude de la langue)</w:t>
            </w:r>
          </w:p>
        </w:tc>
        <w:tc>
          <w:tcPr>
            <w:tcW w:w="13265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- Repérage de dysfonctionnements dans les textes produits (omissions, incohérences, redites...).</w:t>
            </w:r>
          </w:p>
        </w:tc>
      </w:tr>
      <w:tr>
        <w:trPr>
          <w:trHeight w:val="624" w:hRule="exact"/>
        </w:trPr>
        <w:tc>
          <w:tcPr>
            <w:tcW w:w="1304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0084D1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265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- Mobilisation des connaissances portant sur le genre d’écrit à produire et sur la langue.</w:t>
            </w:r>
          </w:p>
        </w:tc>
      </w:tr>
      <w:tr>
        <w:trPr>
          <w:trHeight w:val="624" w:hRule="exact"/>
        </w:trPr>
        <w:tc>
          <w:tcPr>
            <w:tcW w:w="1304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0084D1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265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- Vigilance orthographique, exercée d’abord sur des points désignés par le professeur, puis progressivement étendue.</w:t>
            </w:r>
          </w:p>
        </w:tc>
      </w:tr>
      <w:tr>
        <w:trPr>
          <w:trHeight w:val="624" w:hRule="exact"/>
        </w:trPr>
        <w:tc>
          <w:tcPr>
            <w:tcW w:w="1304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0084D1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265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- Utilisation d’outils aidant à la correction : outils élaborés dans la classe, correcteur orthographique, guide de relecture.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tbl>
      <w:tblPr>
        <w:tblW w:w="14570" w:type="dxa"/>
        <w:jc w:val="left"/>
        <w:tblInd w:w="53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51" w:type="dxa"/>
          <w:bottom w:w="55" w:type="dxa"/>
          <w:right w:w="55" w:type="dxa"/>
        </w:tblCellMar>
      </w:tblPr>
      <w:tblGrid>
        <w:gridCol w:w="1304"/>
        <w:gridCol w:w="4420"/>
        <w:gridCol w:w="4422"/>
        <w:gridCol w:w="4423"/>
      </w:tblGrid>
      <w:tr>
        <w:trPr/>
        <w:tc>
          <w:tcPr>
            <w:tcW w:w="13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83CAFF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Objectifs</w:t>
            </w:r>
          </w:p>
        </w:tc>
        <w:tc>
          <w:tcPr>
            <w:tcW w:w="44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D320" w:val="clear"/>
            <w:tcMar>
              <w:left w:w="51" w:type="dxa"/>
            </w:tcMar>
          </w:tcPr>
          <w:p>
            <w:pPr>
              <w:pStyle w:val="Normal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Année 1 - CP</w:t>
            </w:r>
          </w:p>
        </w:tc>
        <w:tc>
          <w:tcPr>
            <w:tcW w:w="44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420E" w:val="clear"/>
            <w:tcMar>
              <w:left w:w="51" w:type="dxa"/>
            </w:tcMar>
          </w:tcPr>
          <w:p>
            <w:pPr>
              <w:pStyle w:val="Normal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Année 2 - CE1</w:t>
            </w:r>
          </w:p>
        </w:tc>
        <w:tc>
          <w:tcPr>
            <w:tcW w:w="44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C90016" w:val="clear"/>
            <w:tcMar>
              <w:left w:w="51" w:type="dxa"/>
            </w:tcMar>
          </w:tcPr>
          <w:p>
            <w:pPr>
              <w:pStyle w:val="Normal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Année 3 - CE2</w:t>
            </w:r>
          </w:p>
        </w:tc>
      </w:tr>
      <w:tr>
        <w:trPr/>
        <w:tc>
          <w:tcPr>
            <w:tcW w:w="14569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9966CC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b/>
                <w:b/>
                <w:bCs/>
                <w:sz w:val="30"/>
                <w:szCs w:val="30"/>
              </w:rPr>
            </w:pPr>
            <w:r>
              <w:rPr>
                <w:b/>
                <w:bCs/>
                <w:sz w:val="30"/>
                <w:szCs w:val="30"/>
              </w:rPr>
              <w:t>ÉTUDE DE LA LANGUE – GRAMMAIRE, ORTHOGRAPHE, LEXIQUE</w:t>
            </w:r>
          </w:p>
          <w:p>
            <w:pPr>
              <w:pStyle w:val="Contenudetableau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Attendus de fin de cycle :</w:t>
            </w:r>
          </w:p>
          <w:p>
            <w:pPr>
              <w:pStyle w:val="Contenudetableau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>- Orthographier les mots les plus fréquents (notamment en situation scolaire) et les mots invariables mémorisés.</w:t>
            </w:r>
          </w:p>
          <w:p>
            <w:pPr>
              <w:pStyle w:val="Contenudetableau"/>
              <w:jc w:val="left"/>
              <w:rPr>
                <w:b w:val="false"/>
                <w:b w:val="false"/>
                <w:bCs w:val="false"/>
                <w:i w:val="false"/>
                <w:i w:val="false"/>
                <w:iCs w:val="false"/>
                <w:sz w:val="16"/>
                <w:szCs w:val="16"/>
              </w:rPr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>- Raisonner pour réaliser les accords dans le groupe nominal d’une part (déterminant, nom, adjectif), entre le verbe et son sujet d’autre part (cas simples : sujet placé avant le verbe et proche de lui ; sujet composé d’un groupe nominal comportant au plus un adjectif).</w:t>
            </w:r>
          </w:p>
          <w:p>
            <w:pPr>
              <w:pStyle w:val="Contenudetableau"/>
              <w:jc w:val="left"/>
              <w:rPr>
                <w:b w:val="false"/>
                <w:b w:val="false"/>
                <w:bCs w:val="false"/>
                <w:i w:val="false"/>
                <w:i w:val="false"/>
                <w:iCs w:val="false"/>
                <w:sz w:val="16"/>
                <w:szCs w:val="16"/>
              </w:rPr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>- Utiliser ses connaissances sur la langue pour mieux s’exprimer à l’oral, pour mieux comprendre des mots et des textes, pour améliorer des textes écrits.</w:t>
            </w:r>
          </w:p>
        </w:tc>
      </w:tr>
      <w:tr>
        <w:trPr/>
        <w:tc>
          <w:tcPr>
            <w:tcW w:w="1304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9966CC" w:val="clear"/>
            <w:tcMar>
              <w:left w:w="51" w:type="dxa"/>
            </w:tcMar>
            <w:vAlign w:val="center"/>
          </w:tcPr>
          <w:p>
            <w:pPr>
              <w:pStyle w:val="Normal"/>
              <w:jc w:val="center"/>
              <w:rPr>
                <w:rFonts w:ascii="Liberation Serif" w:hAnsi="Liberation Serif"/>
                <w:b/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Maitriser les relations entre l’oral</w:t>
            </w:r>
          </w:p>
          <w:p>
            <w:pPr>
              <w:pStyle w:val="Normal"/>
              <w:jc w:val="center"/>
              <w:rPr>
                <w:rFonts w:ascii="Liberation Serif" w:hAnsi="Liberation Serif"/>
                <w:b/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et l’écrit (lien avec la lecture)</w:t>
            </w:r>
          </w:p>
        </w:tc>
        <w:tc>
          <w:tcPr>
            <w:tcW w:w="13265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 w:eastAsia="Lucida Sans Unicode" w:cs="FreeSans"/>
                <w:b w:val="false"/>
                <w:b w:val="false"/>
                <w:bCs w:val="false"/>
                <w:i w:val="false"/>
                <w:i w:val="false"/>
                <w:iCs w:val="false"/>
                <w:sz w:val="16"/>
                <w:szCs w:val="16"/>
              </w:rPr>
            </w:pPr>
            <w:r>
              <w:rPr>
                <w:rFonts w:eastAsia="Lucida Sans Unicode" w:cs="FreeSans"/>
                <w:b w:val="false"/>
                <w:bCs w:val="false"/>
                <w:i w:val="false"/>
                <w:iCs w:val="false"/>
                <w:sz w:val="16"/>
                <w:szCs w:val="16"/>
              </w:rPr>
              <w:t>- Correspondances graphophonologiques.</w:t>
            </w:r>
          </w:p>
        </w:tc>
      </w:tr>
      <w:tr>
        <w:trPr/>
        <w:tc>
          <w:tcPr>
            <w:tcW w:w="1304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9966CC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265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 w:eastAsia="Lucida Sans Unicode" w:cs="FreeSans"/>
                <w:b w:val="false"/>
                <w:b w:val="false"/>
                <w:bCs w:val="false"/>
                <w:i w:val="false"/>
                <w:i w:val="false"/>
                <w:iCs w:val="false"/>
                <w:sz w:val="16"/>
                <w:szCs w:val="16"/>
              </w:rPr>
            </w:pPr>
            <w:r>
              <w:rPr>
                <w:rFonts w:eastAsia="Lucida Sans Unicode" w:cs="FreeSans"/>
                <w:b w:val="false"/>
                <w:bCs w:val="false"/>
                <w:i w:val="false"/>
                <w:iCs w:val="false"/>
                <w:sz w:val="16"/>
                <w:szCs w:val="16"/>
              </w:rPr>
              <w:t>- Valeur sonore de certaines lettres (s – c – g) selon le contexte.</w:t>
            </w:r>
          </w:p>
        </w:tc>
      </w:tr>
      <w:tr>
        <w:trPr/>
        <w:tc>
          <w:tcPr>
            <w:tcW w:w="1304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9966CC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 w:eastAsia="Lucida Sans Unicode" w:cs="FreeSans"/>
                <w:b w:val="false"/>
                <w:b w:val="false"/>
                <w:bCs w:val="false"/>
                <w:i w:val="false"/>
                <w:i w:val="false"/>
                <w:iCs w:val="false"/>
                <w:sz w:val="16"/>
                <w:szCs w:val="16"/>
              </w:rPr>
            </w:pPr>
            <w:r>
              <w:rPr>
                <w:rFonts w:eastAsia="Lucida Sans Unicode" w:cs="FreeSans"/>
                <w:b w:val="false"/>
                <w:bCs w:val="false"/>
                <w:i w:val="false"/>
                <w:iCs w:val="false"/>
                <w:sz w:val="16"/>
                <w:szCs w:val="16"/>
              </w:rPr>
              <w:t>- Composition de certains graphèmes selon la lettre qui suit (an/am, en/em).</w:t>
            </w:r>
          </w:p>
        </w:tc>
        <w:tc>
          <w:tcPr>
            <w:tcW w:w="8845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 w:eastAsia="Lucida Sans Unicode" w:cs="FreeSans"/>
                <w:b w:val="false"/>
                <w:b w:val="false"/>
                <w:bCs w:val="false"/>
                <w:i w:val="false"/>
                <w:i w:val="false"/>
                <w:iCs w:val="false"/>
                <w:sz w:val="16"/>
                <w:szCs w:val="16"/>
              </w:rPr>
            </w:pPr>
            <w:r>
              <w:rPr>
                <w:rFonts w:eastAsia="Lucida Sans Unicode" w:cs="FreeSans"/>
                <w:b w:val="false"/>
                <w:bCs w:val="false"/>
                <w:i w:val="false"/>
                <w:iCs w:val="false"/>
                <w:sz w:val="16"/>
                <w:szCs w:val="16"/>
              </w:rPr>
              <w:t>- Composition de certains graphèmes selon la lettre qui suit (an/am, en/em, on/om, in/im).</w:t>
            </w:r>
          </w:p>
        </w:tc>
      </w:tr>
      <w:tr>
        <w:trPr>
          <w:trHeight w:val="533" w:hRule="atLeast"/>
        </w:trPr>
        <w:tc>
          <w:tcPr>
            <w:tcW w:w="1304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9966CC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b/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Mémoriser et se remémorer l’orthographe</w:t>
            </w:r>
          </w:p>
          <w:p>
            <w:pPr>
              <w:pStyle w:val="Contenudetableau"/>
              <w:jc w:val="center"/>
              <w:rPr>
                <w:rFonts w:ascii="Liberation Serif" w:hAnsi="Liberation Serif"/>
                <w:b/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de mots fréquents et de mots irréguliers</w:t>
            </w:r>
          </w:p>
          <w:p>
            <w:pPr>
              <w:pStyle w:val="Contenudetableau"/>
              <w:jc w:val="center"/>
              <w:rPr>
                <w:rFonts w:ascii="Liberation Serif" w:hAnsi="Liberation Serif"/>
                <w:b/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 xml:space="preserve">dont le sens est connu </w:t>
            </w:r>
          </w:p>
        </w:tc>
        <w:tc>
          <w:tcPr>
            <w:tcW w:w="13265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- Vocabulaire des activités scolaires et vocabulaire spécialisé lié aux apprentissages disciplinaires.</w:t>
            </w:r>
          </w:p>
        </w:tc>
      </w:tr>
      <w:tr>
        <w:trPr>
          <w:trHeight w:val="849" w:hRule="atLeast"/>
        </w:trPr>
        <w:tc>
          <w:tcPr>
            <w:tcW w:w="1304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9966CC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- Séries de mots (mots relevant d’un même champ lexical).</w:t>
            </w:r>
          </w:p>
        </w:tc>
        <w:tc>
          <w:tcPr>
            <w:tcW w:w="44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- Séries de mots (mots relevant d’un même champ lexical ; séries correspondant à des familles de mots).</w:t>
            </w:r>
          </w:p>
        </w:tc>
        <w:tc>
          <w:tcPr>
            <w:tcW w:w="44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- Séries de mots (mots relevant d’un même champ lexical ; séries correspondant à des familles de mots ; séries regroupant des mots</w:t>
            </w:r>
          </w:p>
          <w:p>
            <w:pPr>
              <w:pStyle w:val="Contenudetableau"/>
              <w:jc w:val="center"/>
              <w:rPr>
                <w:rFonts w:ascii="Liberation Serif" w:hAnsi="Liberation Serif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ayant une analogie morphologique...).</w:t>
            </w:r>
          </w:p>
        </w:tc>
      </w:tr>
      <w:tr>
        <w:trPr/>
        <w:tc>
          <w:tcPr>
            <w:tcW w:w="1304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9966CC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265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z w:val="16"/>
                <w:szCs w:val="16"/>
              </w:rPr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>- Mots invariables.</w:t>
            </w:r>
          </w:p>
        </w:tc>
      </w:tr>
      <w:tr>
        <w:trPr/>
        <w:tc>
          <w:tcPr>
            <w:tcW w:w="1304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9966CC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b/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Identifier les principaux constituants d’une</w:t>
            </w:r>
          </w:p>
          <w:p>
            <w:pPr>
              <w:pStyle w:val="Contenudetableau"/>
              <w:jc w:val="center"/>
              <w:rPr>
                <w:rFonts w:ascii="Liberation Serif" w:hAnsi="Liberation Serif"/>
                <w:b/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phrase simple en relation avec sa cohérence</w:t>
            </w:r>
          </w:p>
          <w:p>
            <w:pPr>
              <w:pStyle w:val="Contenudetableau"/>
              <w:jc w:val="center"/>
              <w:rPr>
                <w:rFonts w:ascii="Liberation Serif" w:hAnsi="Liberation Serif"/>
                <w:b/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sémantique (de quoi on parle, ce qu’on en dit)</w:t>
            </w:r>
          </w:p>
        </w:tc>
        <w:tc>
          <w:tcPr>
            <w:tcW w:w="44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- Identifier un nom.</w:t>
            </w:r>
          </w:p>
        </w:tc>
        <w:tc>
          <w:tcPr>
            <w:tcW w:w="8845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- Identification du groupe nominal.</w:t>
            </w:r>
          </w:p>
        </w:tc>
      </w:tr>
      <w:tr>
        <w:trPr/>
        <w:tc>
          <w:tcPr>
            <w:tcW w:w="1304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9966CC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842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- Identification du verbe (connaissance des propriétés permettant de l’identifier).</w:t>
            </w:r>
          </w:p>
        </w:tc>
        <w:tc>
          <w:tcPr>
            <w:tcW w:w="44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E6E6FF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</w:r>
          </w:p>
        </w:tc>
      </w:tr>
      <w:tr>
        <w:trPr/>
        <w:tc>
          <w:tcPr>
            <w:tcW w:w="1304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9966CC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- Classes de mots : noms – verbes – déterminants – mots invariables.</w:t>
            </w:r>
          </w:p>
        </w:tc>
        <w:tc>
          <w:tcPr>
            <w:tcW w:w="8845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- Classes de mots : noms – verbes – déterminants – adjectifs – pronoms (en position sujet) – mots invariables.</w:t>
            </w:r>
          </w:p>
        </w:tc>
      </w:tr>
      <w:tr>
        <w:trPr/>
        <w:tc>
          <w:tcPr>
            <w:tcW w:w="1304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9966CC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842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- Phrases affirmatives et négatives (notamment, transformations liées à l’identification du verbe) : à l’oral.</w:t>
            </w:r>
          </w:p>
        </w:tc>
        <w:tc>
          <w:tcPr>
            <w:tcW w:w="44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- Phrases affirmatives et négatives (notamment, transformations liées à l’identification du verbe) : à l’oral et à l’écrit.</w:t>
            </w:r>
          </w:p>
        </w:tc>
      </w:tr>
      <w:tr>
        <w:trPr>
          <w:trHeight w:val="353" w:hRule="atLeast"/>
        </w:trPr>
        <w:tc>
          <w:tcPr>
            <w:tcW w:w="1304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9966CC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- Ponctuation : majuscule et point; signes du discours rapporté.</w:t>
            </w:r>
          </w:p>
        </w:tc>
        <w:tc>
          <w:tcPr>
            <w:tcW w:w="44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- Ponctuation : majuscule, point, virgule, exclamation, interrogation.</w:t>
            </w:r>
          </w:p>
        </w:tc>
        <w:tc>
          <w:tcPr>
            <w:tcW w:w="44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- Ponctuation de fin de phrases ; signes du discours rapporté.</w:t>
            </w:r>
          </w:p>
        </w:tc>
      </w:tr>
      <w:tr>
        <w:trPr/>
        <w:tc>
          <w:tcPr>
            <w:tcW w:w="1304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9966CC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Raisonner pour résoudre des</w:t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 xml:space="preserve">problèmes </w:t>
            </w:r>
            <w:r>
              <w:rPr>
                <w:b/>
                <w:bCs/>
                <w:sz w:val="16"/>
                <w:szCs w:val="16"/>
              </w:rPr>
              <w:t>orthographiques</w:t>
            </w:r>
            <w:r>
              <w:rPr>
                <w:b/>
                <w:bCs/>
                <w:sz w:val="17"/>
                <w:szCs w:val="17"/>
              </w:rPr>
              <w:t>, d’accord</w:t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essentiellement (lien avec l’écriture)</w:t>
            </w:r>
          </w:p>
        </w:tc>
        <w:tc>
          <w:tcPr>
            <w:tcW w:w="44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- Compréhension de la notion de « chaine d’accords » pour déterminant/nom (variation singulier/pluriel en priorité ; variation masculin/féminin).</w:t>
            </w:r>
          </w:p>
        </w:tc>
        <w:tc>
          <w:tcPr>
            <w:tcW w:w="8845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- Compréhension que des éléments de la phrase fonctionnent ensemble (groupe nominal) ; compréhension de la notion de « chaine d’accords » pour déterminant/nom/adjectif (variation singulier/pluriel en priorité ; variation masculin/féminin).</w:t>
            </w:r>
          </w:p>
        </w:tc>
      </w:tr>
      <w:tr>
        <w:trPr/>
        <w:tc>
          <w:tcPr>
            <w:tcW w:w="1304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9966CC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265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- Compréhension qu’écrire ne consiste pas seulement à coder des sons.</w:t>
            </w:r>
          </w:p>
        </w:tc>
      </w:tr>
      <w:tr>
        <w:trPr/>
        <w:tc>
          <w:tcPr>
            <w:tcW w:w="1304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9966CC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E6E6FF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</w:r>
          </w:p>
        </w:tc>
        <w:tc>
          <w:tcPr>
            <w:tcW w:w="8845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- Relation sujet - verbe (identification dans des situations simples).</w:t>
            </w:r>
          </w:p>
        </w:tc>
      </w:tr>
      <w:tr>
        <w:trPr/>
        <w:tc>
          <w:tcPr>
            <w:tcW w:w="1304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9966CC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265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- Notions de singulier et pluriel ; de masculin et féminin.</w:t>
            </w:r>
          </w:p>
        </w:tc>
      </w:tr>
      <w:tr>
        <w:trPr/>
        <w:tc>
          <w:tcPr>
            <w:tcW w:w="1304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9966CC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- Marques d’accord pour les noms : nombre (-s ) et genre (-e).</w:t>
            </w:r>
          </w:p>
        </w:tc>
        <w:tc>
          <w:tcPr>
            <w:tcW w:w="8845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- Marques d’accord pour les noms et adjectifs : nombre (-s ) et genre (-e).</w:t>
            </w:r>
          </w:p>
        </w:tc>
      </w:tr>
      <w:tr>
        <w:trPr/>
        <w:tc>
          <w:tcPr>
            <w:tcW w:w="1304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9966CC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265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- Découverte en lien avec les activités d’oral et de lexique d’autres formes de pluriel (-ail/-aux ; -al/-aux...) et d’autres marques du féminin quand elles s’entendent dans les noms (lecteur/lectrice...) et les adjectifs (joyeux/joyeuse...).</w:t>
            </w:r>
          </w:p>
        </w:tc>
      </w:tr>
      <w:tr>
        <w:trPr/>
        <w:tc>
          <w:tcPr>
            <w:tcW w:w="1304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9966CC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842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-  Marque de pluriel pour les verbes à la 3° personne (-nt).</w:t>
            </w:r>
          </w:p>
        </w:tc>
        <w:tc>
          <w:tcPr>
            <w:tcW w:w="44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E6E6FF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</w:r>
          </w:p>
        </w:tc>
      </w:tr>
      <w:tr>
        <w:trPr/>
        <w:tc>
          <w:tcPr>
            <w:tcW w:w="1304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9966CC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Comprendre comment se forment les</w:t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verbes et orthographier les formes verbales</w:t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les plus fréquentes (lien avec l’écriture)</w:t>
            </w:r>
          </w:p>
        </w:tc>
        <w:tc>
          <w:tcPr>
            <w:tcW w:w="44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E6E6FF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</w:r>
          </w:p>
        </w:tc>
        <w:tc>
          <w:tcPr>
            <w:tcW w:w="44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- Familiarisation avec l’indicatif présent, imparfait et futur des verbes être, avoir, faire, aller, dire, pouvoir et des verbes dont l’infinitif se termine par –ER.</w:t>
            </w:r>
          </w:p>
        </w:tc>
        <w:tc>
          <w:tcPr>
            <w:tcW w:w="44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- Familiarisation avec l’indicatif présent, imparfait et futur des verbes être, avoir, faire, aller, dire, venir, pouvoir, voir, vouloir, prendre et des verbes dont l’infinitif se termine par –ER.</w:t>
            </w:r>
          </w:p>
        </w:tc>
      </w:tr>
      <w:tr>
        <w:trPr/>
        <w:tc>
          <w:tcPr>
            <w:tcW w:w="1304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9966CC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- Mémorisation des formes les plus fréquentes (troisième personne du singulier et du pluriel).</w:t>
            </w:r>
          </w:p>
        </w:tc>
        <w:tc>
          <w:tcPr>
            <w:tcW w:w="44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</w:r>
          </w:p>
        </w:tc>
        <w:tc>
          <w:tcPr>
            <w:tcW w:w="44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</w:r>
          </w:p>
        </w:tc>
      </w:tr>
      <w:tr>
        <w:trPr/>
        <w:tc>
          <w:tcPr>
            <w:tcW w:w="1304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9966CC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E6E6FF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</w:r>
          </w:p>
        </w:tc>
        <w:tc>
          <w:tcPr>
            <w:tcW w:w="8845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- Compréhension de la construction de la forme conjuguée du verbe (radical ; terminaison).</w:t>
            </w:r>
          </w:p>
        </w:tc>
      </w:tr>
      <w:tr>
        <w:trPr/>
        <w:tc>
          <w:tcPr>
            <w:tcW w:w="1304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9966CC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265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- Mémorisation de marques régulières liées à des personnes (-ons, -ez, -nt).</w:t>
            </w:r>
          </w:p>
        </w:tc>
      </w:tr>
      <w:tr>
        <w:trPr/>
        <w:tc>
          <w:tcPr>
            <w:tcW w:w="1304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9966CC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842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- Infinitif.</w:t>
            </w:r>
          </w:p>
        </w:tc>
        <w:tc>
          <w:tcPr>
            <w:tcW w:w="44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- Infinitif ; participe passé.</w:t>
            </w:r>
          </w:p>
        </w:tc>
      </w:tr>
      <w:tr>
        <w:trPr/>
        <w:tc>
          <w:tcPr>
            <w:tcW w:w="1304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9966CC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842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E6E6FF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</w:r>
          </w:p>
        </w:tc>
        <w:tc>
          <w:tcPr>
            <w:tcW w:w="44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- Notions de temps simples et temps composés ; formation du passé composé.</w:t>
            </w:r>
          </w:p>
        </w:tc>
      </w:tr>
      <w:tr>
        <w:trPr/>
        <w:tc>
          <w:tcPr>
            <w:tcW w:w="1304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9966CC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265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- Notions de marques liées au temps (imparfait et futur en particulier).</w:t>
            </w:r>
          </w:p>
        </w:tc>
      </w:tr>
      <w:tr>
        <w:trPr/>
        <w:tc>
          <w:tcPr>
            <w:tcW w:w="1304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9966CC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</w:r>
          </w:p>
        </w:tc>
        <w:tc>
          <w:tcPr>
            <w:tcW w:w="8845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- Mémorisation des verbes être et avoir au présent, à l’imparfait et au futur.</w:t>
            </w:r>
          </w:p>
        </w:tc>
      </w:tr>
      <w:tr>
        <w:trPr/>
        <w:tc>
          <w:tcPr>
            <w:tcW w:w="1304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9966CC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E6E6FF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</w:r>
          </w:p>
        </w:tc>
        <w:tc>
          <w:tcPr>
            <w:tcW w:w="44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- Homophones : les formes verbales a / est distinguées des homophones (à / et).</w:t>
            </w:r>
          </w:p>
        </w:tc>
        <w:tc>
          <w:tcPr>
            <w:tcW w:w="44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- Homophones : les formes verbales a / est/ ont / sont distinguées des homophones (à / et / on / son).</w:t>
            </w:r>
          </w:p>
        </w:tc>
      </w:tr>
      <w:tr>
        <w:trPr>
          <w:trHeight w:val="360" w:hRule="atLeast"/>
        </w:trPr>
        <w:tc>
          <w:tcPr>
            <w:tcW w:w="1304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9966CC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Identifier des relations entre les mots, entre</w:t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les mots et leur contexte d’utilisation ;</w:t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s’en servir pour mieux comprendre</w:t>
            </w:r>
          </w:p>
        </w:tc>
        <w:tc>
          <w:tcPr>
            <w:tcW w:w="8842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- Familles de mots.</w:t>
            </w:r>
          </w:p>
        </w:tc>
        <w:tc>
          <w:tcPr>
            <w:tcW w:w="44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- Familles de mots et dérivation (préfixe, suffixe).</w:t>
            </w:r>
          </w:p>
        </w:tc>
      </w:tr>
      <w:tr>
        <w:trPr/>
        <w:tc>
          <w:tcPr>
            <w:tcW w:w="1304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9966CC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E6E6FF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</w:r>
          </w:p>
        </w:tc>
        <w:tc>
          <w:tcPr>
            <w:tcW w:w="8845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- Catégorisation et relations entre termes génériques et termes spécifiques.</w:t>
            </w:r>
          </w:p>
        </w:tc>
      </w:tr>
      <w:tr>
        <w:trPr>
          <w:trHeight w:val="376" w:hRule="atLeast"/>
        </w:trPr>
        <w:tc>
          <w:tcPr>
            <w:tcW w:w="1304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9966CC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- Synonymie.</w:t>
            </w:r>
          </w:p>
        </w:tc>
        <w:tc>
          <w:tcPr>
            <w:tcW w:w="8845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- Synonymie ; antonymie (contraires) pour adjectifs et verbes.</w:t>
            </w:r>
          </w:p>
        </w:tc>
      </w:tr>
      <w:tr>
        <w:trPr>
          <w:trHeight w:val="385" w:hRule="atLeast"/>
        </w:trPr>
        <w:tc>
          <w:tcPr>
            <w:tcW w:w="1304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9966CC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E6E6FF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</w:r>
          </w:p>
        </w:tc>
        <w:tc>
          <w:tcPr>
            <w:tcW w:w="8845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- Polysémie ; relation avec les contextes d’emploi.</w:t>
            </w:r>
          </w:p>
        </w:tc>
      </w:tr>
      <w:tr>
        <w:trPr>
          <w:trHeight w:val="345" w:hRule="atLeast"/>
        </w:trPr>
        <w:tc>
          <w:tcPr>
            <w:tcW w:w="1304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9966CC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E6E6FF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</w:r>
          </w:p>
        </w:tc>
        <w:tc>
          <w:tcPr>
            <w:tcW w:w="8845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- Sens propre ; sens figuré.</w:t>
            </w:r>
          </w:p>
        </w:tc>
      </w:tr>
      <w:tr>
        <w:trPr/>
        <w:tc>
          <w:tcPr>
            <w:tcW w:w="1304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9966CC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265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- Registres familier, courant, soutenu (lien avec enseignement moral et civique).</w:t>
            </w:r>
          </w:p>
        </w:tc>
      </w:tr>
      <w:tr>
        <w:trPr>
          <w:trHeight w:val="744" w:hRule="atLeast"/>
        </w:trPr>
        <w:tc>
          <w:tcPr>
            <w:tcW w:w="1304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9966CC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Étendre ses connaissances lexicales,</w:t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mémoriser et réutiliser des mots nouvel-lement appris</w:t>
            </w:r>
          </w:p>
        </w:tc>
        <w:tc>
          <w:tcPr>
            <w:tcW w:w="44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E6E6FF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</w:r>
          </w:p>
        </w:tc>
        <w:tc>
          <w:tcPr>
            <w:tcW w:w="8845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- Définition d’un mot ; compréhension d’un article de dictionnaire.</w:t>
            </w:r>
          </w:p>
        </w:tc>
      </w:tr>
      <w:tr>
        <w:trPr/>
        <w:tc>
          <w:tcPr>
            <w:tcW w:w="1304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9966CC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265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- Mobilisation de mots « nouveaux » en situation d’écriture avec appui éventuel sur des outils.</w:t>
            </w:r>
          </w:p>
        </w:tc>
      </w:tr>
    </w:tbl>
    <w:p>
      <w:pPr>
        <w:pStyle w:val="Normal"/>
        <w:rPr/>
      </w:pPr>
      <w:r>
        <w:rPr/>
      </w:r>
    </w:p>
    <w:sectPr>
      <w:type w:val="nextPage"/>
      <w:pgSz w:orient="landscape" w:w="16838" w:h="11906"/>
      <w:pgMar w:left="1134" w:right="1134" w:header="0" w:top="1134" w:footer="0" w:bottom="1134" w:gutter="0"/>
      <w:pgNumType w:fmt="decimal"/>
      <w:formProt w:val="false"/>
      <w:textDirection w:val="lrTb"/>
      <w:docGrid w:type="default" w:linePitch="24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Adobe Garamond Pro">
    <w:charset w:val="01"/>
    <w:family w:val="roman"/>
    <w:pitch w:val="variable"/>
  </w:font>
  <w:font w:name="Wingdings">
    <w:charset w:val="01"/>
    <w:family w:val="roman"/>
    <w:pitch w:val="variable"/>
  </w:font>
  <w:font w:name="Courier New">
    <w:charset w:val="01"/>
    <w:family w:val="roman"/>
    <w:pitch w:val="variable"/>
  </w:font>
  <w:font w:name="Symbol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Calibri">
    <w:charset w:val="01"/>
    <w:family w:val="roman"/>
    <w:pitch w:val="variable"/>
  </w:font>
  <w:font w:name="Times">
    <w:altName w:val="Times New Roman"/>
    <w:charset w:val="01"/>
    <w:family w:val="roman"/>
    <w:pitch w:val="variable"/>
  </w:font>
  <w:font w:name="kaus Tripa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Lucida Sans Unicode" w:cs="FreeSans"/>
        <w:szCs w:val="24"/>
        <w:lang w:val="fr-FR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overflowPunct w:val="false"/>
      <w:bidi w:val="0"/>
      <w:jc w:val="left"/>
    </w:pPr>
    <w:rPr>
      <w:rFonts w:ascii="Liberation Serif" w:hAnsi="Liberation Serif" w:eastAsia="Lucida Sans Unicode" w:cs="FreeSans"/>
      <w:color w:val="00000A"/>
      <w:sz w:val="24"/>
      <w:szCs w:val="24"/>
      <w:lang w:val="fr-FR" w:eastAsia="zh-CN" w:bidi="hi-IN"/>
    </w:rPr>
  </w:style>
  <w:style w:type="character" w:styleId="ListLabel17">
    <w:name w:val="ListLabel 17"/>
    <w:qFormat/>
    <w:rPr>
      <w:rFonts w:cs="Symbol"/>
    </w:rPr>
  </w:style>
  <w:style w:type="character" w:styleId="ListLabel16">
    <w:name w:val="ListLabel 16"/>
    <w:qFormat/>
    <w:rPr>
      <w:rFonts w:cs="Courier New"/>
    </w:rPr>
  </w:style>
  <w:style w:type="character" w:styleId="ListLabel15">
    <w:name w:val="ListLabel 15"/>
    <w:qFormat/>
    <w:rPr>
      <w:rFonts w:cs="Wingdings"/>
    </w:rPr>
  </w:style>
  <w:style w:type="character" w:styleId="ListLabel14">
    <w:name w:val="ListLabel 14"/>
    <w:qFormat/>
    <w:rPr>
      <w:rFonts w:cs="Symbol"/>
    </w:rPr>
  </w:style>
  <w:style w:type="character" w:styleId="ListLabel13">
    <w:name w:val="ListLabel 13"/>
    <w:qFormat/>
    <w:rPr>
      <w:rFonts w:cs="Courier New"/>
    </w:rPr>
  </w:style>
  <w:style w:type="character" w:styleId="ListLabel12">
    <w:name w:val="ListLabel 12"/>
    <w:qFormat/>
    <w:rPr>
      <w:rFonts w:cs="Wingdings"/>
    </w:rPr>
  </w:style>
  <w:style w:type="character" w:styleId="ListLabel11">
    <w:name w:val="ListLabel 11"/>
    <w:qFormat/>
    <w:rPr>
      <w:rFonts w:cs="Symbol"/>
    </w:rPr>
  </w:style>
  <w:style w:type="character" w:styleId="ListLabel10">
    <w:name w:val="ListLabel 10"/>
    <w:qFormat/>
    <w:rPr>
      <w:rFonts w:cs="Courier New"/>
    </w:rPr>
  </w:style>
  <w:style w:type="character" w:styleId="ListLabel9">
    <w:name w:val="ListLabel 9"/>
    <w:qFormat/>
    <w:rPr>
      <w:rFonts w:cs="Wingdings"/>
    </w:rPr>
  </w:style>
  <w:style w:type="character" w:styleId="ListLabel8">
    <w:name w:val="ListLabel 8"/>
    <w:qFormat/>
    <w:rPr>
      <w:rFonts w:cs="Symbol"/>
    </w:rPr>
  </w:style>
  <w:style w:type="character" w:styleId="ListLabel7">
    <w:name w:val="ListLabel 7"/>
    <w:qFormat/>
    <w:rPr>
      <w:rFonts w:cs="Courier New"/>
    </w:rPr>
  </w:style>
  <w:style w:type="character" w:styleId="ListLabel6">
    <w:name w:val="ListLabel 6"/>
    <w:qFormat/>
    <w:rPr>
      <w:rFonts w:cs="Wingdings"/>
    </w:rPr>
  </w:style>
  <w:style w:type="character" w:styleId="ListLabel5">
    <w:name w:val="ListLabel 5"/>
    <w:qFormat/>
    <w:rPr>
      <w:rFonts w:cs="Symbol"/>
    </w:rPr>
  </w:style>
  <w:style w:type="character" w:styleId="ListLabel4">
    <w:name w:val="ListLabel 4"/>
    <w:qFormat/>
    <w:rPr>
      <w:rFonts w:cs="Courier New"/>
    </w:rPr>
  </w:style>
  <w:style w:type="character" w:styleId="ListLabel3">
    <w:name w:val="ListLabel 3"/>
    <w:qFormat/>
    <w:rPr>
      <w:rFonts w:cs="Wingdings"/>
    </w:rPr>
  </w:style>
  <w:style w:type="character" w:styleId="ListLabel2">
    <w:name w:val="ListLabel 2"/>
    <w:qFormat/>
    <w:rPr>
      <w:rFonts w:eastAsia="Calibri" w:cs="Helvetica Neue"/>
    </w:rPr>
  </w:style>
  <w:style w:type="character" w:styleId="ListLabel1">
    <w:name w:val="ListLabel 1"/>
    <w:qFormat/>
    <w:rPr>
      <w:rFonts w:eastAsia="Calibri" w:cs="Helvetica Neue"/>
      <w:color w:val="00000A"/>
    </w:rPr>
  </w:style>
  <w:style w:type="character" w:styleId="PieddepageCar">
    <w:name w:val="Pied de page Car"/>
    <w:qFormat/>
    <w:rPr>
      <w:lang w:val="en-US"/>
    </w:rPr>
  </w:style>
  <w:style w:type="character" w:styleId="EntteCar">
    <w:name w:val="En-tête Car"/>
    <w:qFormat/>
    <w:rPr>
      <w:lang w:val="en-US"/>
    </w:rPr>
  </w:style>
  <w:style w:type="character" w:styleId="CorpsdetexteCar">
    <w:name w:val="Corps de texte Car"/>
    <w:qFormat/>
    <w:rPr>
      <w:rFonts w:ascii="Adobe Garamond Pro" w:hAnsi="Adobe Garamond Pro" w:eastAsia="Adobe Garamond Pro" w:cs="Adobe Garamond Pro"/>
      <w:lang w:val="en-US"/>
    </w:rPr>
  </w:style>
  <w:style w:type="character" w:styleId="Policepardfaut">
    <w:name w:val="Police par défaut"/>
    <w:qFormat/>
    <w:rPr/>
  </w:style>
  <w:style w:type="character" w:styleId="WW8Num12z2">
    <w:name w:val="WW8Num12z2"/>
    <w:qFormat/>
    <w:rPr>
      <w:rFonts w:ascii="Wingdings" w:hAnsi="Wingdings" w:cs="Wingdings"/>
    </w:rPr>
  </w:style>
  <w:style w:type="character" w:styleId="WW8Num11z1">
    <w:name w:val="WW8Num11z1"/>
    <w:qFormat/>
    <w:rPr>
      <w:rFonts w:ascii="Courier New" w:hAnsi="Courier New" w:cs="Courier New"/>
    </w:rPr>
  </w:style>
  <w:style w:type="character" w:styleId="WW8Num6z8">
    <w:name w:val="WW8Num6z8"/>
    <w:qFormat/>
    <w:rPr/>
  </w:style>
  <w:style w:type="character" w:styleId="WW8Num6z7">
    <w:name w:val="WW8Num6z7"/>
    <w:qFormat/>
    <w:rPr/>
  </w:style>
  <w:style w:type="character" w:styleId="WW8Num6z6">
    <w:name w:val="WW8Num6z6"/>
    <w:qFormat/>
    <w:rPr/>
  </w:style>
  <w:style w:type="character" w:styleId="WW8Num6z5">
    <w:name w:val="WW8Num6z5"/>
    <w:qFormat/>
    <w:rPr/>
  </w:style>
  <w:style w:type="character" w:styleId="WW8Num6z4">
    <w:name w:val="WW8Num6z4"/>
    <w:qFormat/>
    <w:rPr/>
  </w:style>
  <w:style w:type="character" w:styleId="WW8Num6z2">
    <w:name w:val="WW8Num6z2"/>
    <w:qFormat/>
    <w:rPr/>
  </w:style>
  <w:style w:type="character" w:styleId="WW8Num18z8">
    <w:name w:val="WW8Num18z8"/>
    <w:qFormat/>
    <w:rPr/>
  </w:style>
  <w:style w:type="character" w:styleId="WW8Num18z7">
    <w:name w:val="WW8Num18z7"/>
    <w:qFormat/>
    <w:rPr/>
  </w:style>
  <w:style w:type="character" w:styleId="WW8Num18z6">
    <w:name w:val="WW8Num18z6"/>
    <w:qFormat/>
    <w:rPr/>
  </w:style>
  <w:style w:type="character" w:styleId="WW8Num18z5">
    <w:name w:val="WW8Num18z5"/>
    <w:qFormat/>
    <w:rPr/>
  </w:style>
  <w:style w:type="character" w:styleId="WW8Num18z4">
    <w:name w:val="WW8Num18z4"/>
    <w:qFormat/>
    <w:rPr/>
  </w:style>
  <w:style w:type="character" w:styleId="WW8Num18z3">
    <w:name w:val="WW8Num18z3"/>
    <w:qFormat/>
    <w:rPr/>
  </w:style>
  <w:style w:type="character" w:styleId="WW8Num18z2">
    <w:name w:val="WW8Num18z2"/>
    <w:qFormat/>
    <w:rPr/>
  </w:style>
  <w:style w:type="character" w:styleId="WW8Num18z1">
    <w:name w:val="WW8Num18z1"/>
    <w:qFormat/>
    <w:rPr/>
  </w:style>
  <w:style w:type="character" w:styleId="WW8Num18z0">
    <w:name w:val="WW8Num18z0"/>
    <w:qFormat/>
    <w:rPr/>
  </w:style>
  <w:style w:type="character" w:styleId="WW8Num17z3">
    <w:name w:val="WW8Num17z3"/>
    <w:qFormat/>
    <w:rPr>
      <w:rFonts w:ascii="Symbol" w:hAnsi="Symbol" w:cs="Symbol"/>
    </w:rPr>
  </w:style>
  <w:style w:type="character" w:styleId="WW8Num17z1">
    <w:name w:val="WW8Num17z1"/>
    <w:qFormat/>
    <w:rPr>
      <w:rFonts w:ascii="Courier New" w:hAnsi="Courier New" w:cs="Courier New"/>
    </w:rPr>
  </w:style>
  <w:style w:type="character" w:styleId="WW8Num17z0">
    <w:name w:val="WW8Num17z0"/>
    <w:qFormat/>
    <w:rPr>
      <w:rFonts w:ascii="Wingdings" w:hAnsi="Wingdings" w:cs="Wingdings"/>
      <w:lang w:val="fr-FR"/>
    </w:rPr>
  </w:style>
  <w:style w:type="character" w:styleId="WW8Num16z3">
    <w:name w:val="WW8Num16z3"/>
    <w:qFormat/>
    <w:rPr>
      <w:rFonts w:ascii="Symbol" w:hAnsi="Symbol" w:cs="Symbol"/>
    </w:rPr>
  </w:style>
  <w:style w:type="character" w:styleId="WW8Num16z1">
    <w:name w:val="WW8Num16z1"/>
    <w:qFormat/>
    <w:rPr>
      <w:rFonts w:ascii="Courier New" w:hAnsi="Courier New" w:cs="Courier New"/>
    </w:rPr>
  </w:style>
  <w:style w:type="character" w:styleId="WW8Num16z0">
    <w:name w:val="WW8Num16z0"/>
    <w:qFormat/>
    <w:rPr>
      <w:rFonts w:ascii="Wingdings" w:hAnsi="Wingdings" w:cs="Wingdings"/>
    </w:rPr>
  </w:style>
  <w:style w:type="character" w:styleId="WW8Num15z3">
    <w:name w:val="WW8Num15z3"/>
    <w:qFormat/>
    <w:rPr>
      <w:rFonts w:ascii="Symbol" w:hAnsi="Symbol" w:cs="Symbol"/>
    </w:rPr>
  </w:style>
  <w:style w:type="character" w:styleId="WW8Num15z1">
    <w:name w:val="WW8Num15z1"/>
    <w:qFormat/>
    <w:rPr>
      <w:rFonts w:ascii="Courier New" w:hAnsi="Courier New" w:cs="Courier New"/>
    </w:rPr>
  </w:style>
  <w:style w:type="character" w:styleId="WW8Num15z0">
    <w:name w:val="WW8Num15z0"/>
    <w:qFormat/>
    <w:rPr>
      <w:rFonts w:ascii="Wingdings" w:hAnsi="Wingdings" w:cs="Wingdings"/>
    </w:rPr>
  </w:style>
  <w:style w:type="character" w:styleId="WW8Num14z3">
    <w:name w:val="WW8Num14z3"/>
    <w:qFormat/>
    <w:rPr>
      <w:rFonts w:ascii="Symbol" w:hAnsi="Symbol" w:cs="Symbol"/>
    </w:rPr>
  </w:style>
  <w:style w:type="character" w:styleId="WW8Num14z1">
    <w:name w:val="WW8Num14z1"/>
    <w:qFormat/>
    <w:rPr>
      <w:rFonts w:ascii="Courier New" w:hAnsi="Courier New" w:cs="Courier New"/>
    </w:rPr>
  </w:style>
  <w:style w:type="character" w:styleId="WW8Num14z0">
    <w:name w:val="WW8Num14z0"/>
    <w:qFormat/>
    <w:rPr>
      <w:rFonts w:ascii="Wingdings" w:hAnsi="Wingdings" w:cs="Wingdings"/>
    </w:rPr>
  </w:style>
  <w:style w:type="character" w:styleId="WW8Num13z3">
    <w:name w:val="WW8Num13z3"/>
    <w:qFormat/>
    <w:rPr>
      <w:rFonts w:ascii="Symbol" w:hAnsi="Symbol" w:cs="Symbol"/>
    </w:rPr>
  </w:style>
  <w:style w:type="character" w:styleId="WW8Num13z1">
    <w:name w:val="WW8Num13z1"/>
    <w:qFormat/>
    <w:rPr>
      <w:rFonts w:ascii="Courier New" w:hAnsi="Courier New" w:cs="Courier New"/>
    </w:rPr>
  </w:style>
  <w:style w:type="character" w:styleId="WW8Num13z0">
    <w:name w:val="WW8Num13z0"/>
    <w:qFormat/>
    <w:rPr>
      <w:rFonts w:ascii="Wingdings" w:hAnsi="Wingdings" w:cs="Wingdings"/>
      <w:sz w:val="20"/>
      <w:szCs w:val="20"/>
    </w:rPr>
  </w:style>
  <w:style w:type="character" w:styleId="WW8Num12z3">
    <w:name w:val="WW8Num12z3"/>
    <w:qFormat/>
    <w:rPr>
      <w:rFonts w:ascii="Symbol" w:hAnsi="Symbol" w:cs="Symbol"/>
    </w:rPr>
  </w:style>
  <w:style w:type="character" w:styleId="WW8Num12z1">
    <w:name w:val="WW8Num12z1"/>
    <w:qFormat/>
    <w:rPr>
      <w:rFonts w:ascii="Courier New" w:hAnsi="Courier New" w:cs="Courier New"/>
    </w:rPr>
  </w:style>
  <w:style w:type="character" w:styleId="WW8Num12z0">
    <w:name w:val="WW8Num12z0"/>
    <w:qFormat/>
    <w:rPr>
      <w:rFonts w:ascii="Wingdings" w:hAnsi="Wingdings" w:cs="Wingdings"/>
    </w:rPr>
  </w:style>
  <w:style w:type="character" w:styleId="WW8Num11z3">
    <w:name w:val="WW8Num11z3"/>
    <w:qFormat/>
    <w:rPr>
      <w:rFonts w:ascii="Symbol" w:hAnsi="Symbol" w:cs="Symbol"/>
    </w:rPr>
  </w:style>
  <w:style w:type="character" w:styleId="WW8Num11z2">
    <w:name w:val="WW8Num11z2"/>
    <w:qFormat/>
    <w:rPr>
      <w:rFonts w:ascii="Wingdings" w:hAnsi="Wingdings" w:cs="Wingdings"/>
    </w:rPr>
  </w:style>
  <w:style w:type="character" w:styleId="WW8Num11z0">
    <w:name w:val="WW8Num11z0"/>
    <w:qFormat/>
    <w:rPr>
      <w:rFonts w:ascii="Courier New" w:hAnsi="Courier New" w:eastAsia="MS Mincho;ＭＳ 明朝" w:cs="Courier New"/>
    </w:rPr>
  </w:style>
  <w:style w:type="character" w:styleId="WW8Num10z3">
    <w:name w:val="WW8Num10z3"/>
    <w:qFormat/>
    <w:rPr>
      <w:rFonts w:ascii="Symbol" w:hAnsi="Symbol" w:cs="Symbol"/>
    </w:rPr>
  </w:style>
  <w:style w:type="character" w:styleId="WW8Num10z1">
    <w:name w:val="WW8Num10z1"/>
    <w:qFormat/>
    <w:rPr>
      <w:rFonts w:ascii="Courier New" w:hAnsi="Courier New" w:cs="Courier New"/>
    </w:rPr>
  </w:style>
  <w:style w:type="character" w:styleId="WW8Num10z0">
    <w:name w:val="WW8Num10z0"/>
    <w:qFormat/>
    <w:rPr>
      <w:rFonts w:ascii="Wingdings" w:hAnsi="Wingdings" w:cs="Wingdings"/>
    </w:rPr>
  </w:style>
  <w:style w:type="character" w:styleId="WW8Num9z3">
    <w:name w:val="WW8Num9z3"/>
    <w:qFormat/>
    <w:rPr>
      <w:rFonts w:ascii="Symbol" w:hAnsi="Symbol" w:cs="Symbol"/>
    </w:rPr>
  </w:style>
  <w:style w:type="character" w:styleId="WW8Num9z1">
    <w:name w:val="WW8Num9z1"/>
    <w:qFormat/>
    <w:rPr>
      <w:rFonts w:ascii="Courier New" w:hAnsi="Courier New" w:cs="Courier New"/>
    </w:rPr>
  </w:style>
  <w:style w:type="character" w:styleId="WW8Num9z0">
    <w:name w:val="WW8Num9z0"/>
    <w:qFormat/>
    <w:rPr>
      <w:rFonts w:ascii="Wingdings" w:hAnsi="Wingdings" w:eastAsia="MS Mincho;ＭＳ 明朝" w:cs="Wingdings"/>
    </w:rPr>
  </w:style>
  <w:style w:type="character" w:styleId="WW8Num8z3">
    <w:name w:val="WW8Num8z3"/>
    <w:qFormat/>
    <w:rPr>
      <w:rFonts w:ascii="Symbol" w:hAnsi="Symbol" w:cs="Symbol"/>
    </w:rPr>
  </w:style>
  <w:style w:type="character" w:styleId="WW8Num8z1">
    <w:name w:val="WW8Num8z1"/>
    <w:qFormat/>
    <w:rPr>
      <w:rFonts w:ascii="Courier New" w:hAnsi="Courier New" w:cs="Courier New"/>
    </w:rPr>
  </w:style>
  <w:style w:type="character" w:styleId="WW8Num8z0">
    <w:name w:val="WW8Num8z0"/>
    <w:qFormat/>
    <w:rPr>
      <w:rFonts w:ascii="Wingdings" w:hAnsi="Wingdings" w:eastAsia="MS Mincho;ＭＳ 明朝" w:cs="Wingdings"/>
      <w:sz w:val="16"/>
      <w:szCs w:val="16"/>
      <w:lang w:val="fr-FR" w:eastAsia="fr-FR"/>
    </w:rPr>
  </w:style>
  <w:style w:type="character" w:styleId="WW8Num7z3">
    <w:name w:val="WW8Num7z3"/>
    <w:qFormat/>
    <w:rPr>
      <w:rFonts w:ascii="Symbol" w:hAnsi="Symbol" w:cs="Symbol"/>
    </w:rPr>
  </w:style>
  <w:style w:type="character" w:styleId="WW8Num7z1">
    <w:name w:val="WW8Num7z1"/>
    <w:qFormat/>
    <w:rPr>
      <w:rFonts w:ascii="Courier New" w:hAnsi="Courier New" w:cs="Courier New"/>
    </w:rPr>
  </w:style>
  <w:style w:type="character" w:styleId="WW8Num7z0">
    <w:name w:val="WW8Num7z0"/>
    <w:qFormat/>
    <w:rPr>
      <w:rFonts w:ascii="Wingdings" w:hAnsi="Wingdings" w:cs="Wingdings"/>
      <w:sz w:val="16"/>
      <w:szCs w:val="16"/>
    </w:rPr>
  </w:style>
  <w:style w:type="character" w:styleId="WW8Num6z3">
    <w:name w:val="WW8Num6z3"/>
    <w:qFormat/>
    <w:rPr>
      <w:rFonts w:ascii="Symbol" w:hAnsi="Symbol" w:cs="Symbol"/>
    </w:rPr>
  </w:style>
  <w:style w:type="character" w:styleId="WW8Num6z1">
    <w:name w:val="WW8Num6z1"/>
    <w:qFormat/>
    <w:rPr>
      <w:rFonts w:ascii="Courier New" w:hAnsi="Courier New" w:cs="Courier New"/>
    </w:rPr>
  </w:style>
  <w:style w:type="character" w:styleId="WW8Num6z0">
    <w:name w:val="WW8Num6z0"/>
    <w:qFormat/>
    <w:rPr>
      <w:rFonts w:ascii="Wingdings" w:hAnsi="Wingdings" w:cs="Wingdings"/>
      <w:sz w:val="16"/>
      <w:szCs w:val="16"/>
      <w:lang w:val="fr-FR" w:eastAsia="fr-FR"/>
    </w:rPr>
  </w:style>
  <w:style w:type="character" w:styleId="WW8Num5z3">
    <w:name w:val="WW8Num5z3"/>
    <w:qFormat/>
    <w:rPr>
      <w:rFonts w:ascii="Symbol" w:hAnsi="Symbol" w:cs="Symbol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0">
    <w:name w:val="WW8Num5z0"/>
    <w:qFormat/>
    <w:rPr>
      <w:rFonts w:ascii="Wingdings" w:hAnsi="Wingdings" w:cs="Wingdings"/>
    </w:rPr>
  </w:style>
  <w:style w:type="character" w:styleId="WW8Num4z3">
    <w:name w:val="WW8Num4z3"/>
    <w:qFormat/>
    <w:rPr>
      <w:rFonts w:ascii="Symbol" w:hAnsi="Symbol" w:cs="Symbol"/>
    </w:rPr>
  </w:style>
  <w:style w:type="character" w:styleId="WW8Num4z1">
    <w:name w:val="WW8Num4z1"/>
    <w:qFormat/>
    <w:rPr>
      <w:rFonts w:ascii="Courier New" w:hAnsi="Courier New" w:cs="Courier New"/>
    </w:rPr>
  </w:style>
  <w:style w:type="character" w:styleId="WW8Num4z0">
    <w:name w:val="WW8Num4z0"/>
    <w:qFormat/>
    <w:rPr>
      <w:rFonts w:ascii="Wingdings" w:hAnsi="Wingdings" w:cs="Wingdings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0">
    <w:name w:val="WW8Num3z0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2z1">
    <w:name w:val="WW8Num2z1"/>
    <w:qFormat/>
    <w:rPr>
      <w:rFonts w:ascii="Courier New" w:hAnsi="Courier New" w:cs="Courier New"/>
      <w:sz w:val="20"/>
      <w:szCs w:val="20"/>
    </w:rPr>
  </w:style>
  <w:style w:type="character" w:styleId="WW8Num2z0">
    <w:name w:val="WW8Num2z0"/>
    <w:qFormat/>
    <w:rPr>
      <w:rFonts w:ascii="Wingdings" w:hAnsi="Wingdings" w:cs="Wingdings"/>
    </w:rPr>
  </w:style>
  <w:style w:type="character" w:styleId="WW8Num1z3">
    <w:name w:val="WW8Num1z3"/>
    <w:qFormat/>
    <w:rPr>
      <w:rFonts w:ascii="Symbol" w:hAnsi="Symbol" w:cs="Symbol"/>
    </w:rPr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0">
    <w:name w:val="WW8Num1z0"/>
    <w:qFormat/>
    <w:rPr>
      <w:rFonts w:ascii="Wingdings" w:hAnsi="Wingdings" w:cs="Wingdings"/>
    </w:rPr>
  </w:style>
  <w:style w:type="paragraph" w:styleId="Titre">
    <w:name w:val="Titre"/>
    <w:basedOn w:val="Normal"/>
    <w:next w:val="Corpsdetexte"/>
    <w:qFormat/>
    <w:pPr>
      <w:keepNext/>
      <w:spacing w:before="240" w:after="120"/>
    </w:pPr>
    <w:rPr>
      <w:rFonts w:ascii="Liberation Sans" w:hAnsi="Liberation Sans" w:eastAsia="Lucida Sans Unicode" w:cs="FreeSans"/>
      <w:sz w:val="28"/>
      <w:szCs w:val="28"/>
    </w:rPr>
  </w:style>
  <w:style w:type="paragraph" w:styleId="Corpsdetexte">
    <w:name w:val="Body Text"/>
    <w:basedOn w:val="Normal"/>
    <w:pPr>
      <w:spacing w:lineRule="auto" w:line="288" w:before="0" w:after="140"/>
    </w:pPr>
    <w:rPr/>
  </w:style>
  <w:style w:type="paragraph" w:styleId="Liste">
    <w:name w:val="List"/>
    <w:basedOn w:val="Corpsdetexte"/>
    <w:pPr/>
    <w:rPr>
      <w:rFonts w:cs="FreeSans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Contenudetableau">
    <w:name w:val="Contenu de tableau"/>
    <w:basedOn w:val="Normal"/>
    <w:qFormat/>
    <w:pPr>
      <w:suppressLineNumbers/>
    </w:pPr>
    <w:rPr/>
  </w:style>
  <w:style w:type="paragraph" w:styleId="Titredetableau">
    <w:name w:val="Titre de tableau"/>
    <w:basedOn w:val="Contenudetableau"/>
    <w:qFormat/>
    <w:pPr>
      <w:suppressLineNumbers/>
      <w:jc w:val="center"/>
    </w:pPr>
    <w:rPr>
      <w:b/>
      <w:bCs/>
    </w:rPr>
  </w:style>
  <w:style w:type="paragraph" w:styleId="Sansinterligne1">
    <w:name w:val="Sans interligne1"/>
    <w:qFormat/>
    <w:pPr>
      <w:widowControl/>
      <w:suppressAutoHyphens w:val="true"/>
      <w:overflowPunct w:val="false"/>
      <w:bidi w:val="0"/>
      <w:spacing w:lineRule="auto" w:line="252"/>
      <w:jc w:val="left"/>
    </w:pPr>
    <w:rPr>
      <w:rFonts w:ascii="Calibri" w:hAnsi="Calibri" w:eastAsia="MS ??" w:cs="Calibri"/>
      <w:color w:val="00000A"/>
      <w:sz w:val="22"/>
      <w:szCs w:val="22"/>
      <w:lang w:val="fr-FR" w:eastAsia="zh-CN" w:bidi="ar-SA"/>
    </w:rPr>
  </w:style>
  <w:style w:type="paragraph" w:styleId="NormalWeb">
    <w:name w:val="Normal (Web)"/>
    <w:basedOn w:val="Normal"/>
    <w:qFormat/>
    <w:pPr>
      <w:spacing w:before="0" w:after="280"/>
    </w:pPr>
    <w:rPr>
      <w:rFonts w:ascii="Times;Times New Roman" w:hAnsi="Times;Times New Roman" w:cs="Times;Times New Roman"/>
      <w:sz w:val="20"/>
      <w:szCs w:val="20"/>
    </w:rPr>
  </w:style>
  <w:style w:type="paragraph" w:styleId="Sansinterligne2">
    <w:name w:val="Sans interligne2"/>
    <w:qFormat/>
    <w:pPr>
      <w:widowControl/>
      <w:suppressAutoHyphens w:val="true"/>
      <w:overflowPunct w:val="false"/>
      <w:bidi w:val="0"/>
      <w:spacing w:lineRule="auto" w:line="252"/>
      <w:jc w:val="left"/>
    </w:pPr>
    <w:rPr>
      <w:rFonts w:ascii="Calibri" w:hAnsi="Calibri" w:eastAsia="MS ??" w:cs="Calibri"/>
      <w:color w:val="00000A"/>
      <w:sz w:val="22"/>
      <w:szCs w:val="22"/>
      <w:lang w:val="fr-FR" w:eastAsia="zh-CN" w:bidi="ar-SA"/>
    </w:rPr>
  </w:style>
  <w:style w:type="paragraph" w:styleId="Default">
    <w:name w:val="Default"/>
    <w:qFormat/>
    <w:pPr>
      <w:widowControl w:val="false"/>
      <w:suppressAutoHyphens w:val="true"/>
      <w:overflowPunct w:val="false"/>
      <w:bidi w:val="0"/>
      <w:spacing w:lineRule="atLeast" w:line="100"/>
      <w:jc w:val="left"/>
    </w:pPr>
    <w:rPr>
      <w:rFonts w:ascii="Calibri" w:hAnsi="Calibri" w:eastAsia="MS ??" w:cs="Calibri"/>
      <w:color w:val="000000"/>
      <w:sz w:val="24"/>
      <w:szCs w:val="24"/>
      <w:lang w:val="fr-FR" w:eastAsia="zh-CN" w:bidi="ar-SA"/>
    </w:rPr>
  </w:style>
  <w:style w:type="paragraph" w:styleId="Notedebasdepage">
    <w:name w:val="note de bas de page"/>
    <w:basedOn w:val="Normal"/>
    <w:qFormat/>
    <w:pPr>
      <w:widowControl/>
      <w:jc w:val="both"/>
    </w:pPr>
    <w:rPr>
      <w:rFonts w:ascii="Times;Times New Roman" w:hAnsi="Times;Times New Roman" w:eastAsia="Cambria" w:cs="Times New Roman"/>
      <w:sz w:val="20"/>
      <w:szCs w:val="24"/>
      <w:lang w:val="fr-FR"/>
    </w:rPr>
  </w:style>
  <w:style w:type="paragraph" w:styleId="Pieddepage">
    <w:name w:val="Footer"/>
    <w:basedOn w:val="Normal"/>
    <w:pPr/>
    <w:rPr/>
  </w:style>
  <w:style w:type="paragraph" w:styleId="Entte">
    <w:name w:val="Header"/>
    <w:basedOn w:val="Normal"/>
    <w:pPr/>
    <w:rPr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  <w:style w:type="numbering" w:styleId="WW8Num12">
    <w:name w:val="WW8Num12"/>
    <w:qFormat/>
  </w:style>
  <w:style w:type="numbering" w:styleId="WW8Num13">
    <w:name w:val="WW8Num13"/>
    <w:qFormat/>
  </w:style>
  <w:style w:type="numbering" w:styleId="WW8Num14">
    <w:name w:val="WW8Num14"/>
    <w:qFormat/>
  </w:style>
  <w:style w:type="numbering" w:styleId="WW8Num15">
    <w:name w:val="WW8Num15"/>
    <w:qFormat/>
  </w:style>
  <w:style w:type="numbering" w:styleId="WW8Num16">
    <w:name w:val="WW8Num16"/>
    <w:qFormat/>
  </w:style>
  <w:style w:type="numbering" w:styleId="WW8Num17">
    <w:name w:val="WW8Num17"/>
    <w:qFormat/>
  </w:style>
  <w:style w:type="numbering" w:styleId="WW8Num18">
    <w:name w:val="WW8Num18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3575</TotalTime>
  <Application>LibreOffice/5.1.4.2$Linux_X86_64 LibreOffice_project/10m0$Build-2</Application>
  <Pages>5</Pages>
  <Words>2005</Words>
  <Characters>11172</Characters>
  <CharactersWithSpaces>13013</CharactersWithSpaces>
  <Paragraphs>183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2016-05-08T16:11:19Z</dcterms:created>
  <dc:creator>Louise Gonzalez</dc:creator>
  <dc:description/>
  <dc:language>fr-FR</dc:language>
  <cp:lastModifiedBy>Louise Gonzalez</cp:lastModifiedBy>
  <dcterms:modified xsi:type="dcterms:W3CDTF">2016-08-12T14:48:02Z</dcterms:modified>
  <cp:revision>130</cp:revision>
  <dc:subject/>
  <dc:title/>
</cp:coreProperties>
</file>